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c943" w14:textId="da5c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6 марта 2012 года № 63-Ө. Зарегистрирован в Министерстве юстиции Республики Казахстан 2 апреля 2012 года № 7502. Утратил силу приказом Министра экологии, геологии и природных ресурсов Республики Казахстан от 13 сентября 2021 года № 370.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13.09.2021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разрешительной системы" </w:t>
      </w:r>
    </w:p>
    <w:bookmarkEnd w:id="0"/>
    <w:p>
      <w:pPr>
        <w:spacing w:after="0"/>
        <w:ind w:left="0"/>
        <w:jc w:val="both"/>
      </w:pPr>
      <w:r>
        <w:rPr>
          <w:rFonts w:ascii="Times New Roman"/>
          <w:b w:val="false"/>
          <w:i w:val="false"/>
          <w:color w:val="000000"/>
          <w:sz w:val="28"/>
        </w:rPr>
        <w:t xml:space="preserve">
      от 15 июля 2011 года,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23 июля 2009 года № 143-Ө "О распределении объектов I категории, подлежащих государственной экологической экспертизе,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(зарегистрированный в Реестре государственной регистрации нормативных правовых актов за № 5741, опубликованный в "Юридической газете" от 14 августа 2009 года № 123 (1720)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распределение</w:t>
      </w:r>
      <w:r>
        <w:rPr>
          <w:rFonts w:ascii="Times New Roman"/>
          <w:b w:val="false"/>
          <w:i w:val="false"/>
          <w:color w:val="000000"/>
          <w:sz w:val="28"/>
        </w:rPr>
        <w:t xml:space="preserve">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утвержденное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xml:space="preserve">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утвержденное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2.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3. Комитету экологического регулирования и контроля Министерства охраны окружающей среды Республики Казахстан:</w:t>
      </w:r>
    </w:p>
    <w:bookmarkEnd w:id="4"/>
    <w:bookmarkStart w:name="z7" w:id="5"/>
    <w:p>
      <w:pPr>
        <w:spacing w:after="0"/>
        <w:ind w:left="0"/>
        <w:jc w:val="both"/>
      </w:pPr>
      <w:r>
        <w:rPr>
          <w:rFonts w:ascii="Times New Roman"/>
          <w:b w:val="false"/>
          <w:i w:val="false"/>
          <w:color w:val="000000"/>
          <w:sz w:val="28"/>
        </w:rPr>
        <w:t>
      1) обеспечить официальное опубликование настоящего приказа;</w:t>
      </w:r>
    </w:p>
    <w:bookmarkEnd w:id="5"/>
    <w:bookmarkStart w:name="z8" w:id="6"/>
    <w:p>
      <w:pPr>
        <w:spacing w:after="0"/>
        <w:ind w:left="0"/>
        <w:jc w:val="both"/>
      </w:pPr>
      <w:r>
        <w:rPr>
          <w:rFonts w:ascii="Times New Roman"/>
          <w:b w:val="false"/>
          <w:i w:val="false"/>
          <w:color w:val="000000"/>
          <w:sz w:val="28"/>
        </w:rPr>
        <w:t>
      2) довести настоящий приказ до сведения его территориальных подразделений уполномоченного органа в области охраны окружающей среды.</w:t>
      </w:r>
    </w:p>
    <w:bookmarkEnd w:id="6"/>
    <w:bookmarkStart w:name="z9"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2012 года № 63-Ө</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12" w:id="8"/>
    <w:p>
      <w:pPr>
        <w:spacing w:after="0"/>
        <w:ind w:left="0"/>
        <w:jc w:val="left"/>
      </w:pPr>
      <w:r>
        <w:rPr>
          <w:rFonts w:ascii="Times New Roman"/>
          <w:b/>
          <w:i w:val="false"/>
          <w:color w:val="000000"/>
        </w:rPr>
        <w:t xml:space="preserve"> Распределение объектов I категории,</w:t>
      </w:r>
      <w:r>
        <w:br/>
      </w:r>
      <w:r>
        <w:rPr>
          <w:rFonts w:ascii="Times New Roman"/>
          <w:b/>
          <w:i w:val="false"/>
          <w:color w:val="000000"/>
        </w:rPr>
        <w:t>подлежащих государственной экологической экспертизе, между</w:t>
      </w:r>
      <w:r>
        <w:br/>
      </w:r>
      <w:r>
        <w:rPr>
          <w:rFonts w:ascii="Times New Roman"/>
          <w:b/>
          <w:i w:val="false"/>
          <w:color w:val="000000"/>
        </w:rPr>
        <w:t>уполномоченным органом в области охраны окружающей среды и его</w:t>
      </w:r>
      <w:r>
        <w:br/>
      </w:r>
      <w:r>
        <w:rPr>
          <w:rFonts w:ascii="Times New Roman"/>
          <w:b/>
          <w:i w:val="false"/>
          <w:color w:val="000000"/>
        </w:rPr>
        <w:t>территориальными подразделениями</w:t>
      </w:r>
    </w:p>
    <w:bookmarkEnd w:id="8"/>
    <w:bookmarkStart w:name="z13" w:id="9"/>
    <w:p>
      <w:pPr>
        <w:spacing w:after="0"/>
        <w:ind w:left="0"/>
        <w:jc w:val="both"/>
      </w:pPr>
      <w:r>
        <w:rPr>
          <w:rFonts w:ascii="Times New Roman"/>
          <w:b w:val="false"/>
          <w:i w:val="false"/>
          <w:color w:val="000000"/>
          <w:sz w:val="28"/>
        </w:rPr>
        <w:t>
      1. Государственной экологической экспертизе уполномоченным органом в области охраны окружающей среды подлежат:</w:t>
      </w:r>
    </w:p>
    <w:bookmarkEnd w:id="9"/>
    <w:bookmarkStart w:name="z14" w:id="10"/>
    <w:p>
      <w:pPr>
        <w:spacing w:after="0"/>
        <w:ind w:left="0"/>
        <w:jc w:val="both"/>
      </w:pPr>
      <w:r>
        <w:rPr>
          <w:rFonts w:ascii="Times New Roman"/>
          <w:b w:val="false"/>
          <w:i w:val="false"/>
          <w:color w:val="000000"/>
          <w:sz w:val="28"/>
        </w:rPr>
        <w:t xml:space="preserve">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по основному производству (основной технологический процесс данного производства без вспомогательного производства) производственного объекта, относящегося к 1 классу опасности согласно санитарной классификации производственных объектов:</w:t>
      </w:r>
    </w:p>
    <w:bookmarkEnd w:id="10"/>
    <w:bookmarkStart w:name="z15" w:id="11"/>
    <w:p>
      <w:pPr>
        <w:spacing w:after="0"/>
        <w:ind w:left="0"/>
        <w:jc w:val="both"/>
      </w:pPr>
      <w:r>
        <w:rPr>
          <w:rFonts w:ascii="Times New Roman"/>
          <w:b w:val="false"/>
          <w:i w:val="false"/>
          <w:color w:val="000000"/>
          <w:sz w:val="28"/>
        </w:rPr>
        <w:t>
      химические производства;</w:t>
      </w:r>
    </w:p>
    <w:bookmarkEnd w:id="11"/>
    <w:bookmarkStart w:name="z16" w:id="12"/>
    <w:p>
      <w:pPr>
        <w:spacing w:after="0"/>
        <w:ind w:left="0"/>
        <w:jc w:val="both"/>
      </w:pPr>
      <w:r>
        <w:rPr>
          <w:rFonts w:ascii="Times New Roman"/>
          <w:b w:val="false"/>
          <w:i w:val="false"/>
          <w:color w:val="000000"/>
          <w:sz w:val="28"/>
        </w:rPr>
        <w:t>
      металлургические, машиностроительные и металлообрабатывающие объекты;</w:t>
      </w:r>
    </w:p>
    <w:bookmarkEnd w:id="12"/>
    <w:bookmarkStart w:name="z17" w:id="13"/>
    <w:p>
      <w:pPr>
        <w:spacing w:after="0"/>
        <w:ind w:left="0"/>
        <w:jc w:val="both"/>
      </w:pPr>
      <w:r>
        <w:rPr>
          <w:rFonts w:ascii="Times New Roman"/>
          <w:b w:val="false"/>
          <w:i w:val="false"/>
          <w:color w:val="000000"/>
          <w:sz w:val="28"/>
        </w:rPr>
        <w:t>
      объекты по разведке и добыче полезных ископаемых (за исключением общераспространенных полезных ископаемых) в казахстанском секторе Каспийского моря, добычи полезных ископаемых (кроме общераспространенных);</w:t>
      </w:r>
    </w:p>
    <w:bookmarkEnd w:id="13"/>
    <w:bookmarkStart w:name="z18" w:id="14"/>
    <w:p>
      <w:pPr>
        <w:spacing w:after="0"/>
        <w:ind w:left="0"/>
        <w:jc w:val="both"/>
      </w:pPr>
      <w:r>
        <w:rPr>
          <w:rFonts w:ascii="Times New Roman"/>
          <w:b w:val="false"/>
          <w:i w:val="false"/>
          <w:color w:val="000000"/>
          <w:sz w:val="28"/>
        </w:rPr>
        <w:t>
      строительная промышленность (производство цемента, а также местных цементов, производство асбеста и изделий из него);</w:t>
      </w:r>
    </w:p>
    <w:bookmarkEnd w:id="14"/>
    <w:bookmarkStart w:name="z19" w:id="15"/>
    <w:p>
      <w:pPr>
        <w:spacing w:after="0"/>
        <w:ind w:left="0"/>
        <w:jc w:val="both"/>
      </w:pPr>
      <w:r>
        <w:rPr>
          <w:rFonts w:ascii="Times New Roman"/>
          <w:b w:val="false"/>
          <w:i w:val="false"/>
          <w:color w:val="000000"/>
          <w:sz w:val="28"/>
        </w:rPr>
        <w:t>
      микробиологическая промышленность;</w:t>
      </w:r>
    </w:p>
    <w:bookmarkEnd w:id="15"/>
    <w:bookmarkStart w:name="z20" w:id="16"/>
    <w:p>
      <w:pPr>
        <w:spacing w:after="0"/>
        <w:ind w:left="0"/>
        <w:jc w:val="both"/>
      </w:pPr>
      <w:r>
        <w:rPr>
          <w:rFonts w:ascii="Times New Roman"/>
          <w:b w:val="false"/>
          <w:i w:val="false"/>
          <w:color w:val="000000"/>
          <w:sz w:val="28"/>
        </w:rPr>
        <w:t>
      производство электрической и тепловой энергии при сжигании минерального топлива (тепловые электростанции эквивалентной электрической мощности в 600 МВт и выше, использующие в качестве топлива уголь и мазут);</w:t>
      </w:r>
    </w:p>
    <w:bookmarkEnd w:id="16"/>
    <w:bookmarkStart w:name="z21" w:id="17"/>
    <w:p>
      <w:pPr>
        <w:spacing w:after="0"/>
        <w:ind w:left="0"/>
        <w:jc w:val="both"/>
      </w:pPr>
      <w:r>
        <w:rPr>
          <w:rFonts w:ascii="Times New Roman"/>
          <w:b w:val="false"/>
          <w:i w:val="false"/>
          <w:color w:val="000000"/>
          <w:sz w:val="28"/>
        </w:rPr>
        <w:t xml:space="preserve">
      2)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определенные международными договорами Республики Казахстан, в том числе по комплексу "Байконур" в части, новых трасс полета и районов падения отделяющихся частей ракет-носителей, запускаемых с космодрома "Байконур", не включенные в Приложение № 2 к </w:t>
      </w:r>
      <w:r>
        <w:rPr>
          <w:rFonts w:ascii="Times New Roman"/>
          <w:b w:val="false"/>
          <w:i w:val="false"/>
          <w:color w:val="000000"/>
          <w:sz w:val="28"/>
        </w:rPr>
        <w:t>Договору</w:t>
      </w:r>
      <w:r>
        <w:rPr>
          <w:rFonts w:ascii="Times New Roman"/>
          <w:b w:val="false"/>
          <w:i w:val="false"/>
          <w:color w:val="000000"/>
          <w:sz w:val="28"/>
        </w:rPr>
        <w:t xml:space="preserve"> аренды комплекса "Байконур" между Правительством Российской Федерации и Правительством Республики Казахстан (Москва, 10 декабря 1994 г.);</w:t>
      </w:r>
    </w:p>
    <w:bookmarkEnd w:id="17"/>
    <w:bookmarkStart w:name="z22" w:id="18"/>
    <w:p>
      <w:pPr>
        <w:spacing w:after="0"/>
        <w:ind w:left="0"/>
        <w:jc w:val="both"/>
      </w:pPr>
      <w:r>
        <w:rPr>
          <w:rFonts w:ascii="Times New Roman"/>
          <w:b w:val="false"/>
          <w:i w:val="false"/>
          <w:color w:val="000000"/>
          <w:sz w:val="28"/>
        </w:rPr>
        <w:t>
      3) проекты государственных, отраслевых программ с сопровождающими их материалами оценки воздействия на окружающую среду,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 разрабатываемые центральными государственными органами;</w:t>
      </w:r>
    </w:p>
    <w:bookmarkEnd w:id="18"/>
    <w:bookmarkStart w:name="z23" w:id="19"/>
    <w:p>
      <w:pPr>
        <w:spacing w:after="0"/>
        <w:ind w:left="0"/>
        <w:jc w:val="both"/>
      </w:pPr>
      <w:r>
        <w:rPr>
          <w:rFonts w:ascii="Times New Roman"/>
          <w:b w:val="false"/>
          <w:i w:val="false"/>
          <w:color w:val="000000"/>
          <w:sz w:val="28"/>
        </w:rPr>
        <w:t>
      4) проекты контрактов на проведение операций по недропользованию, за исключением контрактов на разведку, добычу общераспространенных полезных ископаемых;</w:t>
      </w:r>
    </w:p>
    <w:bookmarkEnd w:id="19"/>
    <w:bookmarkStart w:name="z24" w:id="20"/>
    <w:p>
      <w:pPr>
        <w:spacing w:after="0"/>
        <w:ind w:left="0"/>
        <w:jc w:val="both"/>
      </w:pPr>
      <w:r>
        <w:rPr>
          <w:rFonts w:ascii="Times New Roman"/>
          <w:b w:val="false"/>
          <w:i w:val="false"/>
          <w:color w:val="000000"/>
          <w:sz w:val="28"/>
        </w:rPr>
        <w:t>
      5) биологические обоснования на добычу и использование рыбных ресурсов и других видов водных животных в рыбохозяйственных водоемах (участках) международного и республиканского значений;</w:t>
      </w:r>
    </w:p>
    <w:bookmarkEnd w:id="20"/>
    <w:bookmarkStart w:name="z25" w:id="21"/>
    <w:p>
      <w:pPr>
        <w:spacing w:after="0"/>
        <w:ind w:left="0"/>
        <w:jc w:val="both"/>
      </w:pPr>
      <w:r>
        <w:rPr>
          <w:rFonts w:ascii="Times New Roman"/>
          <w:b w:val="false"/>
          <w:i w:val="false"/>
          <w:color w:val="000000"/>
          <w:sz w:val="28"/>
        </w:rPr>
        <w:t>
      6) биологические обоснования на добычу и использование животных, являющихся объектом охоты, лимит изъятия которых утверждается Правительством Республики Казахстан;</w:t>
      </w:r>
    </w:p>
    <w:bookmarkEnd w:id="21"/>
    <w:bookmarkStart w:name="z26" w:id="22"/>
    <w:p>
      <w:pPr>
        <w:spacing w:after="0"/>
        <w:ind w:left="0"/>
        <w:jc w:val="both"/>
      </w:pPr>
      <w:r>
        <w:rPr>
          <w:rFonts w:ascii="Times New Roman"/>
          <w:b w:val="false"/>
          <w:i w:val="false"/>
          <w:color w:val="000000"/>
          <w:sz w:val="28"/>
        </w:rPr>
        <w:t>
      7)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22"/>
    <w:bookmarkStart w:name="z27" w:id="23"/>
    <w:p>
      <w:pPr>
        <w:spacing w:after="0"/>
        <w:ind w:left="0"/>
        <w:jc w:val="both"/>
      </w:pPr>
      <w:r>
        <w:rPr>
          <w:rFonts w:ascii="Times New Roman"/>
          <w:b w:val="false"/>
          <w:i w:val="false"/>
          <w:color w:val="000000"/>
          <w:sz w:val="28"/>
        </w:rPr>
        <w:t>
      8) документация по применению технологий, техники, за исключением транспортных средств, и оборудования, перемещаемых (ввозимых) в Республику Казахстан;</w:t>
      </w:r>
    </w:p>
    <w:bookmarkEnd w:id="23"/>
    <w:bookmarkStart w:name="z28" w:id="24"/>
    <w:p>
      <w:pPr>
        <w:spacing w:after="0"/>
        <w:ind w:left="0"/>
        <w:jc w:val="both"/>
      </w:pPr>
      <w:r>
        <w:rPr>
          <w:rFonts w:ascii="Times New Roman"/>
          <w:b w:val="false"/>
          <w:i w:val="false"/>
          <w:color w:val="000000"/>
          <w:sz w:val="28"/>
        </w:rPr>
        <w:t>
      9) проекты естественно-научных и технико-экономических обоснований по созданию и расширению особо охраняемых природных территорий республиканского значения, упразднению государственных природных заказников и государственных заповедных зон республиканского значения и уменьшению их территории;</w:t>
      </w:r>
    </w:p>
    <w:bookmarkEnd w:id="24"/>
    <w:bookmarkStart w:name="z29" w:id="25"/>
    <w:p>
      <w:pPr>
        <w:spacing w:after="0"/>
        <w:ind w:left="0"/>
        <w:jc w:val="both"/>
      </w:pPr>
      <w:r>
        <w:rPr>
          <w:rFonts w:ascii="Times New Roman"/>
          <w:b w:val="false"/>
          <w:i w:val="false"/>
          <w:color w:val="000000"/>
          <w:sz w:val="28"/>
        </w:rPr>
        <w:t>
      10) проекты генеральных планов застройки (развития) территорий с особым режимом ведения хозяйственной деятельности.</w:t>
      </w:r>
    </w:p>
    <w:bookmarkEnd w:id="25"/>
    <w:bookmarkStart w:name="z30" w:id="26"/>
    <w:p>
      <w:pPr>
        <w:spacing w:after="0"/>
        <w:ind w:left="0"/>
        <w:jc w:val="both"/>
      </w:pPr>
      <w:r>
        <w:rPr>
          <w:rFonts w:ascii="Times New Roman"/>
          <w:b w:val="false"/>
          <w:i w:val="false"/>
          <w:color w:val="000000"/>
          <w:sz w:val="28"/>
        </w:rPr>
        <w:t>
      2. Государственной экологической экспертизе территориальными подразделениями уполномоченного органа в области охраны окружающей среды подлежат:</w:t>
      </w:r>
    </w:p>
    <w:bookmarkEnd w:id="26"/>
    <w:bookmarkStart w:name="z31" w:id="27"/>
    <w:p>
      <w:pPr>
        <w:spacing w:after="0"/>
        <w:ind w:left="0"/>
        <w:jc w:val="both"/>
      </w:pPr>
      <w:r>
        <w:rPr>
          <w:rFonts w:ascii="Times New Roman"/>
          <w:b w:val="false"/>
          <w:i w:val="false"/>
          <w:color w:val="000000"/>
          <w:sz w:val="28"/>
        </w:rPr>
        <w:t xml:space="preserve">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по вспомогательному производству, относящегося к 1 классу опасности согласно санитарной классификации производственных объектов;</w:t>
      </w:r>
    </w:p>
    <w:bookmarkEnd w:id="27"/>
    <w:bookmarkStart w:name="z32" w:id="28"/>
    <w:p>
      <w:pPr>
        <w:spacing w:after="0"/>
        <w:ind w:left="0"/>
        <w:jc w:val="both"/>
      </w:pPr>
      <w:r>
        <w:rPr>
          <w:rFonts w:ascii="Times New Roman"/>
          <w:b w:val="false"/>
          <w:i w:val="false"/>
          <w:color w:val="000000"/>
          <w:sz w:val="28"/>
        </w:rPr>
        <w:t>
      2) виды деятельности, относящиеся к 1 классу опасности согласно санитарной классификации производственных объектов:</w:t>
      </w:r>
    </w:p>
    <w:bookmarkEnd w:id="28"/>
    <w:bookmarkStart w:name="z33" w:id="29"/>
    <w:p>
      <w:pPr>
        <w:spacing w:after="0"/>
        <w:ind w:left="0"/>
        <w:jc w:val="both"/>
      </w:pPr>
      <w:r>
        <w:rPr>
          <w:rFonts w:ascii="Times New Roman"/>
          <w:b w:val="false"/>
          <w:i w:val="false"/>
          <w:color w:val="000000"/>
          <w:sz w:val="28"/>
        </w:rPr>
        <w:t>
      строительная промышленность (производство магнезита, доломита и шамота с обжигом в шахтных, вращающихся и других печах, производство асфальтобетона на стационарных заводах);</w:t>
      </w:r>
    </w:p>
    <w:bookmarkEnd w:id="29"/>
    <w:bookmarkStart w:name="z34" w:id="30"/>
    <w:p>
      <w:pPr>
        <w:spacing w:after="0"/>
        <w:ind w:left="0"/>
        <w:jc w:val="both"/>
      </w:pPr>
      <w:r>
        <w:rPr>
          <w:rFonts w:ascii="Times New Roman"/>
          <w:b w:val="false"/>
          <w:i w:val="false"/>
          <w:color w:val="000000"/>
          <w:sz w:val="28"/>
        </w:rPr>
        <w:t>
      обработка древесины;</w:t>
      </w:r>
    </w:p>
    <w:bookmarkEnd w:id="30"/>
    <w:bookmarkStart w:name="z35" w:id="31"/>
    <w:p>
      <w:pPr>
        <w:spacing w:after="0"/>
        <w:ind w:left="0"/>
        <w:jc w:val="both"/>
      </w:pPr>
      <w:r>
        <w:rPr>
          <w:rFonts w:ascii="Times New Roman"/>
          <w:b w:val="false"/>
          <w:i w:val="false"/>
          <w:color w:val="000000"/>
          <w:sz w:val="28"/>
        </w:rPr>
        <w:t>
      текстильные производства и производства легкой промышленности;</w:t>
      </w:r>
    </w:p>
    <w:bookmarkEnd w:id="31"/>
    <w:bookmarkStart w:name="z36" w:id="32"/>
    <w:p>
      <w:pPr>
        <w:spacing w:after="0"/>
        <w:ind w:left="0"/>
        <w:jc w:val="both"/>
      </w:pPr>
      <w:r>
        <w:rPr>
          <w:rFonts w:ascii="Times New Roman"/>
          <w:b w:val="false"/>
          <w:i w:val="false"/>
          <w:color w:val="000000"/>
          <w:sz w:val="28"/>
        </w:rPr>
        <w:t>
      обработка животных продуктов;</w:t>
      </w:r>
    </w:p>
    <w:bookmarkEnd w:id="32"/>
    <w:bookmarkStart w:name="z37" w:id="33"/>
    <w:p>
      <w:pPr>
        <w:spacing w:after="0"/>
        <w:ind w:left="0"/>
        <w:jc w:val="both"/>
      </w:pPr>
      <w:r>
        <w:rPr>
          <w:rFonts w:ascii="Times New Roman"/>
          <w:b w:val="false"/>
          <w:i w:val="false"/>
          <w:color w:val="000000"/>
          <w:sz w:val="28"/>
        </w:rPr>
        <w:t>
      обработки пищевых продуктов и вкусовых веществ;</w:t>
      </w:r>
    </w:p>
    <w:bookmarkEnd w:id="33"/>
    <w:bookmarkStart w:name="z38" w:id="34"/>
    <w:p>
      <w:pPr>
        <w:spacing w:after="0"/>
        <w:ind w:left="0"/>
        <w:jc w:val="both"/>
      </w:pPr>
      <w:r>
        <w:rPr>
          <w:rFonts w:ascii="Times New Roman"/>
          <w:b w:val="false"/>
          <w:i w:val="false"/>
          <w:color w:val="000000"/>
          <w:sz w:val="28"/>
        </w:rPr>
        <w:t>
      сельскохозяйственные объекты;</w:t>
      </w:r>
    </w:p>
    <w:bookmarkEnd w:id="34"/>
    <w:bookmarkStart w:name="z39" w:id="35"/>
    <w:p>
      <w:pPr>
        <w:spacing w:after="0"/>
        <w:ind w:left="0"/>
        <w:jc w:val="both"/>
      </w:pPr>
      <w:r>
        <w:rPr>
          <w:rFonts w:ascii="Times New Roman"/>
          <w:b w:val="false"/>
          <w:i w:val="false"/>
          <w:color w:val="000000"/>
          <w:sz w:val="28"/>
        </w:rPr>
        <w:t>
      сооружения санитарно-технические, транспортной инфраструктуры, установок и объектов коммунального назначения;</w:t>
      </w:r>
    </w:p>
    <w:bookmarkEnd w:id="35"/>
    <w:bookmarkStart w:name="z40" w:id="36"/>
    <w:p>
      <w:pPr>
        <w:spacing w:after="0"/>
        <w:ind w:left="0"/>
        <w:jc w:val="both"/>
      </w:pPr>
      <w:r>
        <w:rPr>
          <w:rFonts w:ascii="Times New Roman"/>
          <w:b w:val="false"/>
          <w:i w:val="false"/>
          <w:color w:val="000000"/>
          <w:sz w:val="28"/>
        </w:rPr>
        <w:t>
      склады, причалы и места перегрузки и хранения грузов, производств фумигации грузов и судов, газовой дезинфекции, дератизации и дезинсекции;</w:t>
      </w:r>
    </w:p>
    <w:bookmarkEnd w:id="36"/>
    <w:bookmarkStart w:name="z41" w:id="37"/>
    <w:p>
      <w:pPr>
        <w:spacing w:after="0"/>
        <w:ind w:left="0"/>
        <w:jc w:val="both"/>
      </w:pPr>
      <w:r>
        <w:rPr>
          <w:rFonts w:ascii="Times New Roman"/>
          <w:b w:val="false"/>
          <w:i w:val="false"/>
          <w:color w:val="000000"/>
          <w:sz w:val="28"/>
        </w:rPr>
        <w:t xml:space="preserve">
      3) объекты по разведке и добыче полезных ископаемых, за исключением объектов,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настоящего Распределения;</w:t>
      </w:r>
    </w:p>
    <w:bookmarkEnd w:id="37"/>
    <w:bookmarkStart w:name="z42" w:id="38"/>
    <w:p>
      <w:pPr>
        <w:spacing w:after="0"/>
        <w:ind w:left="0"/>
        <w:jc w:val="both"/>
      </w:pPr>
      <w:r>
        <w:rPr>
          <w:rFonts w:ascii="Times New Roman"/>
          <w:b w:val="false"/>
          <w:i w:val="false"/>
          <w:color w:val="000000"/>
          <w:sz w:val="28"/>
        </w:rPr>
        <w:t xml:space="preserve">
      4)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w:t>
      </w:r>
      <w:r>
        <w:rPr>
          <w:rFonts w:ascii="Times New Roman"/>
          <w:b w:val="false"/>
          <w:i w:val="false"/>
          <w:color w:val="000000"/>
          <w:sz w:val="28"/>
        </w:rPr>
        <w:t>статьей 37</w:t>
      </w:r>
      <w:r>
        <w:rPr>
          <w:rFonts w:ascii="Times New Roman"/>
          <w:b w:val="false"/>
          <w:i w:val="false"/>
          <w:color w:val="000000"/>
          <w:sz w:val="28"/>
        </w:rPr>
        <w:t xml:space="preserve"> Экологического кодекса Республики Казахстан производственных объектов, относящихся ко 2 классу опасности согласно санитарной классификации производственных объектов;</w:t>
      </w:r>
    </w:p>
    <w:bookmarkEnd w:id="38"/>
    <w:bookmarkStart w:name="z43" w:id="39"/>
    <w:p>
      <w:pPr>
        <w:spacing w:after="0"/>
        <w:ind w:left="0"/>
        <w:jc w:val="both"/>
      </w:pPr>
      <w:r>
        <w:rPr>
          <w:rFonts w:ascii="Times New Roman"/>
          <w:b w:val="false"/>
          <w:i w:val="false"/>
          <w:color w:val="000000"/>
          <w:sz w:val="28"/>
        </w:rPr>
        <w:t xml:space="preserve">
      5) проектная документация с сопровождающими материалами оценки воздействия на окружающую среду по объектам комплекса "Байконур", за исключением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настоящего Распределения;</w:t>
      </w:r>
    </w:p>
    <w:bookmarkEnd w:id="39"/>
    <w:bookmarkStart w:name="z44" w:id="40"/>
    <w:p>
      <w:pPr>
        <w:spacing w:after="0"/>
        <w:ind w:left="0"/>
        <w:jc w:val="both"/>
      </w:pPr>
      <w:r>
        <w:rPr>
          <w:rFonts w:ascii="Times New Roman"/>
          <w:b w:val="false"/>
          <w:i w:val="false"/>
          <w:color w:val="000000"/>
          <w:sz w:val="28"/>
        </w:rPr>
        <w:t>
      6) предприятия нефтегазовой отрасли, производящие кратковременные работы на нефтяных месторождениях (кроме морских объектов) (капитальный ремонт скважин, гидродинамические исследования скважин, сейсморазведочные работы, проведение технической рекультивации нарушенных земель на нефтяных промыслах, переработка отходов нефтяной отрасли на установках различными методами и прочие), строительство скважин;</w:t>
      </w:r>
    </w:p>
    <w:bookmarkEnd w:id="40"/>
    <w:bookmarkStart w:name="z45" w:id="41"/>
    <w:p>
      <w:pPr>
        <w:spacing w:after="0"/>
        <w:ind w:left="0"/>
        <w:jc w:val="both"/>
      </w:pPr>
      <w:r>
        <w:rPr>
          <w:rFonts w:ascii="Times New Roman"/>
          <w:b w:val="false"/>
          <w:i w:val="false"/>
          <w:color w:val="000000"/>
          <w:sz w:val="28"/>
        </w:rPr>
        <w:t>
      7) предприятия, осуществляющие поддерживающие операции работ в казахстанском секторе Каспийского моря - базы поддержки, причалы, полигоны, очистные сооружения и прочие;</w:t>
      </w:r>
    </w:p>
    <w:bookmarkEnd w:id="41"/>
    <w:bookmarkStart w:name="z46" w:id="42"/>
    <w:p>
      <w:pPr>
        <w:spacing w:after="0"/>
        <w:ind w:left="0"/>
        <w:jc w:val="both"/>
      </w:pPr>
      <w:r>
        <w:rPr>
          <w:rFonts w:ascii="Times New Roman"/>
          <w:b w:val="false"/>
          <w:i w:val="false"/>
          <w:color w:val="000000"/>
          <w:sz w:val="28"/>
        </w:rPr>
        <w:t>
      8) биологические обоснования на добычу и использование рыбных ресурсов и других видов водных животных в рыбохозяйственных водоемах (участках) областного и местного значений;</w:t>
      </w:r>
    </w:p>
    <w:bookmarkEnd w:id="42"/>
    <w:bookmarkStart w:name="z47" w:id="43"/>
    <w:p>
      <w:pPr>
        <w:spacing w:after="0"/>
        <w:ind w:left="0"/>
        <w:jc w:val="both"/>
      </w:pPr>
      <w:r>
        <w:rPr>
          <w:rFonts w:ascii="Times New Roman"/>
          <w:b w:val="false"/>
          <w:i w:val="false"/>
          <w:color w:val="000000"/>
          <w:sz w:val="28"/>
        </w:rPr>
        <w:t xml:space="preserve">
      9) биологические обоснования на добычу и использование объектов растительного и животного мира, за исключением объектов,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1 настоящего Распределения;</w:t>
      </w:r>
    </w:p>
    <w:bookmarkEnd w:id="43"/>
    <w:bookmarkStart w:name="z48" w:id="44"/>
    <w:p>
      <w:pPr>
        <w:spacing w:after="0"/>
        <w:ind w:left="0"/>
        <w:jc w:val="both"/>
      </w:pPr>
      <w:r>
        <w:rPr>
          <w:rFonts w:ascii="Times New Roman"/>
          <w:b w:val="false"/>
          <w:i w:val="false"/>
          <w:color w:val="000000"/>
          <w:sz w:val="28"/>
        </w:rPr>
        <w:t>
      10)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местного значения и уменьшению их территории;</w:t>
      </w:r>
    </w:p>
    <w:bookmarkEnd w:id="44"/>
    <w:bookmarkStart w:name="z49" w:id="45"/>
    <w:p>
      <w:pPr>
        <w:spacing w:after="0"/>
        <w:ind w:left="0"/>
        <w:jc w:val="both"/>
      </w:pPr>
      <w:r>
        <w:rPr>
          <w:rFonts w:ascii="Times New Roman"/>
          <w:b w:val="false"/>
          <w:i w:val="false"/>
          <w:color w:val="000000"/>
          <w:sz w:val="28"/>
        </w:rPr>
        <w:t>
      11) проекты развития особо охраняемых природных территорий, в том числе планы управления природоохранными организациями;</w:t>
      </w:r>
    </w:p>
    <w:bookmarkEnd w:id="45"/>
    <w:bookmarkStart w:name="z50" w:id="46"/>
    <w:p>
      <w:pPr>
        <w:spacing w:after="0"/>
        <w:ind w:left="0"/>
        <w:jc w:val="both"/>
      </w:pPr>
      <w:r>
        <w:rPr>
          <w:rFonts w:ascii="Times New Roman"/>
          <w:b w:val="false"/>
          <w:i w:val="false"/>
          <w:color w:val="000000"/>
          <w:sz w:val="28"/>
        </w:rPr>
        <w:t>
      12) проекты контрактов на разведку, добычу общераспространенных полезных ископаемых;</w:t>
      </w:r>
    </w:p>
    <w:bookmarkEnd w:id="46"/>
    <w:bookmarkStart w:name="z51" w:id="47"/>
    <w:p>
      <w:pPr>
        <w:spacing w:after="0"/>
        <w:ind w:left="0"/>
        <w:jc w:val="both"/>
      </w:pPr>
      <w:r>
        <w:rPr>
          <w:rFonts w:ascii="Times New Roman"/>
          <w:b w:val="false"/>
          <w:i w:val="false"/>
          <w:color w:val="000000"/>
          <w:sz w:val="28"/>
        </w:rPr>
        <w:t>
      13) проекты по установлению водоохранных зон и полос водных объектов;</w:t>
      </w:r>
    </w:p>
    <w:bookmarkEnd w:id="47"/>
    <w:bookmarkStart w:name="z52" w:id="48"/>
    <w:p>
      <w:pPr>
        <w:spacing w:after="0"/>
        <w:ind w:left="0"/>
        <w:jc w:val="both"/>
      </w:pPr>
      <w:r>
        <w:rPr>
          <w:rFonts w:ascii="Times New Roman"/>
          <w:b w:val="false"/>
          <w:i w:val="false"/>
          <w:color w:val="000000"/>
          <w:sz w:val="28"/>
        </w:rPr>
        <w:t>
      14) проекты нормативов эмиссий в окружающую среду;</w:t>
      </w:r>
    </w:p>
    <w:bookmarkEnd w:id="48"/>
    <w:bookmarkStart w:name="z53" w:id="49"/>
    <w:p>
      <w:pPr>
        <w:spacing w:after="0"/>
        <w:ind w:left="0"/>
        <w:jc w:val="both"/>
      </w:pPr>
      <w:r>
        <w:rPr>
          <w:rFonts w:ascii="Times New Roman"/>
          <w:b w:val="false"/>
          <w:i w:val="false"/>
          <w:color w:val="000000"/>
          <w:sz w:val="28"/>
        </w:rPr>
        <w:t>
      15) проекты генеральных планов застройки (развития) территорий, в том числе специальных экономических зон.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2012 года № 63-Ө</w:t>
            </w:r>
            <w:r>
              <w:br/>
            </w: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2009 года № 143-Ө</w:t>
            </w:r>
          </w:p>
        </w:tc>
      </w:tr>
    </w:tbl>
    <w:bookmarkStart w:name="z56" w:id="50"/>
    <w:p>
      <w:pPr>
        <w:spacing w:after="0"/>
        <w:ind w:left="0"/>
        <w:jc w:val="left"/>
      </w:pPr>
      <w:r>
        <w:rPr>
          <w:rFonts w:ascii="Times New Roman"/>
          <w:b/>
          <w:i w:val="false"/>
          <w:color w:val="000000"/>
        </w:rPr>
        <w:t xml:space="preserve"> Распределение объектов I категории</w:t>
      </w:r>
      <w:r>
        <w:br/>
      </w:r>
      <w:r>
        <w:rPr>
          <w:rFonts w:ascii="Times New Roman"/>
          <w:b/>
          <w:i w:val="false"/>
          <w:color w:val="000000"/>
        </w:rPr>
        <w:t>для выдачи разрешений на эмиссии в окружающую среду между</w:t>
      </w:r>
      <w:r>
        <w:br/>
      </w:r>
      <w:r>
        <w:rPr>
          <w:rFonts w:ascii="Times New Roman"/>
          <w:b/>
          <w:i w:val="false"/>
          <w:color w:val="000000"/>
        </w:rPr>
        <w:t>уполномоченным органом</w:t>
      </w:r>
      <w:r>
        <w:br/>
      </w:r>
      <w:r>
        <w:rPr>
          <w:rFonts w:ascii="Times New Roman"/>
          <w:b/>
          <w:i w:val="false"/>
          <w:color w:val="000000"/>
        </w:rPr>
        <w:t>в области охраны окружающей среды и его территориальными подразделениями</w:t>
      </w:r>
    </w:p>
    <w:bookmarkEnd w:id="50"/>
    <w:bookmarkStart w:name="z57" w:id="51"/>
    <w:p>
      <w:pPr>
        <w:spacing w:after="0"/>
        <w:ind w:left="0"/>
        <w:jc w:val="both"/>
      </w:pPr>
      <w:r>
        <w:rPr>
          <w:rFonts w:ascii="Times New Roman"/>
          <w:b w:val="false"/>
          <w:i w:val="false"/>
          <w:color w:val="000000"/>
          <w:sz w:val="28"/>
        </w:rPr>
        <w:t>
      1. Разрешение на эмиссии в окружающую среду для объектов I категории выдается уполномоченным органом в области охраны окружающей среды в случаях, когда у природопользователя имеет место один из видов эмиссий, и которые превышают:</w:t>
      </w:r>
    </w:p>
    <w:bookmarkEnd w:id="51"/>
    <w:bookmarkStart w:name="z58" w:id="52"/>
    <w:p>
      <w:pPr>
        <w:spacing w:after="0"/>
        <w:ind w:left="0"/>
        <w:jc w:val="both"/>
      </w:pPr>
      <w:r>
        <w:rPr>
          <w:rFonts w:ascii="Times New Roman"/>
          <w:b w:val="false"/>
          <w:i w:val="false"/>
          <w:color w:val="000000"/>
          <w:sz w:val="28"/>
        </w:rPr>
        <w:t>
      1) 5000 тонн в год выбросов загрязняющих веществ, для нефтегазовой промышленности - 500 тонн в год;</w:t>
      </w:r>
    </w:p>
    <w:bookmarkEnd w:id="52"/>
    <w:bookmarkStart w:name="z59" w:id="53"/>
    <w:p>
      <w:pPr>
        <w:spacing w:after="0"/>
        <w:ind w:left="0"/>
        <w:jc w:val="both"/>
      </w:pPr>
      <w:r>
        <w:rPr>
          <w:rFonts w:ascii="Times New Roman"/>
          <w:b w:val="false"/>
          <w:i w:val="false"/>
          <w:color w:val="000000"/>
          <w:sz w:val="28"/>
        </w:rPr>
        <w:t>
      2) 10000 тонн в год сбросов загрязняющих веществ;</w:t>
      </w:r>
    </w:p>
    <w:bookmarkEnd w:id="53"/>
    <w:bookmarkStart w:name="z60" w:id="54"/>
    <w:p>
      <w:pPr>
        <w:spacing w:after="0"/>
        <w:ind w:left="0"/>
        <w:jc w:val="both"/>
      </w:pPr>
      <w:r>
        <w:rPr>
          <w:rFonts w:ascii="Times New Roman"/>
          <w:b w:val="false"/>
          <w:i w:val="false"/>
          <w:color w:val="000000"/>
          <w:sz w:val="28"/>
        </w:rPr>
        <w:t>
      3) 500000 тонн в год размещения отходов производства и потребления.</w:t>
      </w:r>
    </w:p>
    <w:bookmarkEnd w:id="54"/>
    <w:bookmarkStart w:name="z61" w:id="55"/>
    <w:p>
      <w:pPr>
        <w:spacing w:after="0"/>
        <w:ind w:left="0"/>
        <w:jc w:val="both"/>
      </w:pPr>
      <w:r>
        <w:rPr>
          <w:rFonts w:ascii="Times New Roman"/>
          <w:b w:val="false"/>
          <w:i w:val="false"/>
          <w:color w:val="000000"/>
          <w:sz w:val="28"/>
        </w:rPr>
        <w:t>
      2. В остальных случаях разрешение на эмиссии в окружающую среду для объектов I категории выдается его территориальными подразделениями уполномоченного органа в области охраны окружающей среды.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