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78a6" w14:textId="65d7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19 мая 2010 года № 233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марта 2012 года № 127. Зарегистрирован в Министерстве юстиции Республики Казахстан 28 марта 2012 года № 7489. Утратил силу приказом и.о. Министра финансов Республики Казахстан от 29 декабря 2012 года № 584</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финансов РК от 29.12.2012 </w:t>
      </w:r>
      <w:r>
        <w:rPr>
          <w:rFonts w:ascii="Times New Roman"/>
          <w:b w:val="false"/>
          <w:i w:val="false"/>
          <w:color w:val="ff0000"/>
          <w:sz w:val="28"/>
        </w:rPr>
        <w:t>№ 584</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мая 2010 года № 233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6289),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планирования расходов бюджета соответствующие администраторы бюджетных программ представляют:</w:t>
      </w:r>
      <w:r>
        <w:br/>
      </w:r>
      <w:r>
        <w:rPr>
          <w:rFonts w:ascii="Times New Roman"/>
          <w:b w:val="false"/>
          <w:i w:val="false"/>
          <w:color w:val="000000"/>
          <w:sz w:val="28"/>
        </w:rPr>
        <w:t>
      в центральный уполномоченный орган по бюджетному планированию в срок до 15 мая текущего финансового года -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w:t>
      </w:r>
      <w:r>
        <w:br/>
      </w:r>
      <w:r>
        <w:rPr>
          <w:rFonts w:ascii="Times New Roman"/>
          <w:b w:val="false"/>
          <w:i w:val="false"/>
          <w:color w:val="000000"/>
          <w:sz w:val="28"/>
        </w:rPr>
        <w:t>
      в местный уполномоченный орган по государственному планированию в срок до 15 мая текущего финансового года - бюджетные заявки, проекты стратегических планов или проекты изменений и дополнений в стратегические планы и предложения по приоритетным бюджетным инвестициям.</w:t>
      </w:r>
      <w:r>
        <w:br/>
      </w:r>
      <w:r>
        <w:rPr>
          <w:rFonts w:ascii="Times New Roman"/>
          <w:b w:val="false"/>
          <w:i w:val="false"/>
          <w:color w:val="000000"/>
          <w:sz w:val="28"/>
        </w:rPr>
        <w:t>
      Администраторы бюджетных программ, не разрабатывающие стратегические планы, представляют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проекты бюджетных программ по форме согласно приложению 5 Правил составления Единой бюджетной классификации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мая 2010 года № 214 (зарегистрированный в Реестре государственной регистрации нормативных правовых актов за № 6265).</w:t>
      </w:r>
      <w:r>
        <w:br/>
      </w: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Центральный уполномоченный орган по бюджетному планированию и местные уполномоченные органы по государственному планированию рассматривают:</w:t>
      </w:r>
      <w:r>
        <w:br/>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показатели результативности и эффективности, представленные в проектах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r>
        <w:br/>
      </w:r>
      <w:r>
        <w:rPr>
          <w:rFonts w:ascii="Times New Roman"/>
          <w:b w:val="false"/>
          <w:i w:val="false"/>
          <w:color w:val="000000"/>
          <w:sz w:val="28"/>
        </w:rPr>
        <w:t>
      9. Администратор республиканских бюджетных программ вносит бюджетную заявку в уполномоченный орган по бюджетному планированию на бумажном носителе с пронумерованными листами,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r>
        <w:br/>
      </w:r>
      <w:r>
        <w:rPr>
          <w:rFonts w:ascii="Times New Roman"/>
          <w:b w:val="false"/>
          <w:i w:val="false"/>
          <w:color w:val="000000"/>
          <w:sz w:val="28"/>
        </w:rPr>
        <w:t xml:space="preserve">
      В случае отсутствия в информационной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и/или несоответствия с бюджетной заявкой, представленной на бумажном носителе, данная бюджетная заявка будет возвращена администратору республиканских бюджетных программ без рассмотрения. </w:t>
      </w:r>
      <w:r>
        <w:br/>
      </w:r>
      <w:r>
        <w:rPr>
          <w:rFonts w:ascii="Times New Roman"/>
          <w:b w:val="false"/>
          <w:i w:val="false"/>
          <w:color w:val="000000"/>
          <w:sz w:val="28"/>
        </w:rPr>
        <w:t>
      Кроме того, администраторы республиканских бюджетных программ предоставляют в структурное подразделение центрального уполномоченного органа по бюджетному планированию, осуществляющее функции бюджетного планирования и прогнозирования, для формирования информации по бюджетным заявкам:</w:t>
      </w:r>
      <w:r>
        <w:br/>
      </w:r>
      <w:r>
        <w:rPr>
          <w:rFonts w:ascii="Times New Roman"/>
          <w:b w:val="false"/>
          <w:i w:val="false"/>
          <w:color w:val="000000"/>
          <w:sz w:val="28"/>
        </w:rPr>
        <w:t>
      копию Сводного расчета расходов по программам (подпрограммам);</w:t>
      </w:r>
      <w:r>
        <w:br/>
      </w:r>
      <w:r>
        <w:rPr>
          <w:rFonts w:ascii="Times New Roman"/>
          <w:b w:val="false"/>
          <w:i w:val="false"/>
          <w:color w:val="000000"/>
          <w:sz w:val="28"/>
        </w:rPr>
        <w:t>
      копию Сводного перечня бюджетных программ;</w:t>
      </w:r>
      <w:r>
        <w:br/>
      </w:r>
      <w:r>
        <w:rPr>
          <w:rFonts w:ascii="Times New Roman"/>
          <w:b w:val="false"/>
          <w:i w:val="false"/>
          <w:color w:val="000000"/>
          <w:sz w:val="28"/>
        </w:rPr>
        <w:t>
      копию пояснительной записки.</w:t>
      </w:r>
      <w:r>
        <w:br/>
      </w:r>
      <w:r>
        <w:rPr>
          <w:rFonts w:ascii="Times New Roman"/>
          <w:b w:val="false"/>
          <w:i w:val="false"/>
          <w:color w:val="000000"/>
          <w:sz w:val="28"/>
        </w:rPr>
        <w:t>
      Администратор местных бюджетных программ вносит бюджетную заявку на бумажном носителе в двух экземплярах с пронумерованными страницами,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r>
        <w:br/>
      </w:r>
      <w:r>
        <w:rPr>
          <w:rFonts w:ascii="Times New Roman"/>
          <w:b w:val="false"/>
          <w:i w:val="false"/>
          <w:color w:val="000000"/>
          <w:sz w:val="28"/>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следующего содержания: </w:t>
      </w:r>
      <w:r>
        <w:br/>
      </w:r>
      <w:r>
        <w:rPr>
          <w:rFonts w:ascii="Times New Roman"/>
          <w:b w:val="false"/>
          <w:i w:val="false"/>
          <w:color w:val="000000"/>
          <w:sz w:val="28"/>
        </w:rPr>
        <w:t>
      «14. Администратор бюджетных программ представляют доработанную бюджетную заявку в центральной уполномоченной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r>
        <w:br/>
      </w:r>
      <w:r>
        <w:rPr>
          <w:rFonts w:ascii="Times New Roman"/>
          <w:b w:val="false"/>
          <w:i w:val="false"/>
          <w:color w:val="000000"/>
          <w:sz w:val="28"/>
        </w:rPr>
        <w:t>
</w:t>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Бюджетная заявка включает в себя:</w:t>
      </w:r>
      <w:r>
        <w:br/>
      </w:r>
      <w:r>
        <w:rPr>
          <w:rFonts w:ascii="Times New Roman"/>
          <w:b w:val="false"/>
          <w:i w:val="false"/>
          <w:color w:val="000000"/>
          <w:sz w:val="28"/>
        </w:rPr>
        <w:t>
      1) расчеты по видам расходов по каждой бюджетной программе, включенной в состав проекта стратегического плана, стратегического плана или проекта изменений и дополнений в стратегический план, либо расчеты по видам расходов по каждой бюджетной программе администратора бюджетных программ, не разрабатывающего стратегический план;</w:t>
      </w:r>
      <w:r>
        <w:br/>
      </w: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r>
        <w:br/>
      </w: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r>
        <w:br/>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5) пояснительную записку;</w:t>
      </w:r>
      <w:r>
        <w:br/>
      </w:r>
      <w:r>
        <w:rPr>
          <w:rFonts w:ascii="Times New Roman"/>
          <w:b w:val="false"/>
          <w:i w:val="false"/>
          <w:color w:val="000000"/>
          <w:sz w:val="28"/>
        </w:rPr>
        <w:t>
      6) сводный перечень бюджетных программ, сводную таблицу расходов по текущим бюджетным программам и бюджетным программам развития, включающие базовые расходы и расходы на новые инициативы,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 и другую необходимую информацию, запрашиваемую центральным уполномоченным органом по бюджетному планированию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«15. К бюджетной заявке, кроме перечня документов, предусмотренных в пункте 14-1 настоящих Правил, прилагаются:</w:t>
      </w:r>
      <w:r>
        <w:br/>
      </w:r>
      <w:r>
        <w:rPr>
          <w:rFonts w:ascii="Times New Roman"/>
          <w:b w:val="false"/>
          <w:i w:val="false"/>
          <w:color w:val="000000"/>
          <w:sz w:val="28"/>
        </w:rPr>
        <w:t>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отчет о достигнутых прямых и конечных результатов;</w:t>
      </w:r>
      <w:r>
        <w:br/>
      </w:r>
      <w:r>
        <w:rPr>
          <w:rFonts w:ascii="Times New Roman"/>
          <w:b w:val="false"/>
          <w:i w:val="false"/>
          <w:color w:val="000000"/>
          <w:sz w:val="28"/>
        </w:rPr>
        <w:t>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w:t>
      </w:r>
      <w:r>
        <w:br/>
      </w:r>
      <w:r>
        <w:rPr>
          <w:rFonts w:ascii="Times New Roman"/>
          <w:b w:val="false"/>
          <w:i w:val="false"/>
          <w:color w:val="000000"/>
          <w:sz w:val="28"/>
        </w:rPr>
        <w:t>
      проект соответствующего нормативного правового акта, в случае если администратор бюджетных программ предлагает разработать или внести изменения и дополнения в нормативные правовые акты, требующие дополнительных расходов или сокращения поступлений бюджета;</w:t>
      </w:r>
      <w:r>
        <w:br/>
      </w:r>
      <w:r>
        <w:rPr>
          <w:rFonts w:ascii="Times New Roman"/>
          <w:b w:val="false"/>
          <w:i w:val="false"/>
          <w:color w:val="000000"/>
          <w:sz w:val="28"/>
        </w:rPr>
        <w:t>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r>
        <w:br/>
      </w:r>
      <w:r>
        <w:rPr>
          <w:rFonts w:ascii="Times New Roman"/>
          <w:b w:val="false"/>
          <w:i w:val="false"/>
          <w:color w:val="000000"/>
          <w:sz w:val="28"/>
        </w:rPr>
        <w:t>
      инвестиционные предложения с заключениями соответствующих экспертиз;</w:t>
      </w:r>
      <w:r>
        <w:br/>
      </w:r>
      <w:r>
        <w:rPr>
          <w:rFonts w:ascii="Times New Roman"/>
          <w:b w:val="false"/>
          <w:i w:val="false"/>
          <w:color w:val="000000"/>
          <w:sz w:val="28"/>
        </w:rPr>
        <w:t>
      технико-экономическое обоснование бюджетного инвестиционного проекта, положительное заключение государственной экспертизы предпроектной (технико-экономических обоснований) и проектной (проектно-сметной) документации на строительство за исключением проектов, не требующих разработки технико-экономического обоснования, положительное заключение экономической экспертизы по технико-экономическому обоснованию бюджетного инвестиционного проекта при осуществлении бюджетных инвестиций посредством реализации бюджетных инвестиционных проектов;</w:t>
      </w:r>
      <w:r>
        <w:br/>
      </w:r>
      <w:r>
        <w:rPr>
          <w:rFonts w:ascii="Times New Roman"/>
          <w:b w:val="false"/>
          <w:i w:val="false"/>
          <w:color w:val="000000"/>
          <w:sz w:val="28"/>
        </w:rPr>
        <w:t>
      технико-экономическое обоснование концессионного проекта на условиях софинансирования из бюджета, положительное заключение экономической экспертизы по технико-экономическому обоснованию концессионного проекта на условиях софинансирования из бюджета, согласование концессионного проекта, центральным уполномоченным государственным органом по исполнению бюджета и центральным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при осуществлении бюджетных инвестиций посредством софинансирования концессионных проектов;</w:t>
      </w:r>
      <w:r>
        <w:br/>
      </w:r>
      <w:r>
        <w:rPr>
          <w:rFonts w:ascii="Times New Roman"/>
          <w:b w:val="false"/>
          <w:i w:val="false"/>
          <w:color w:val="000000"/>
          <w:sz w:val="28"/>
        </w:rPr>
        <w:t>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r>
        <w:br/>
      </w:r>
      <w:r>
        <w:rPr>
          <w:rFonts w:ascii="Times New Roman"/>
          <w:b w:val="false"/>
          <w:i w:val="false"/>
          <w:color w:val="000000"/>
          <w:sz w:val="28"/>
        </w:rPr>
        <w:t>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заключение экономической экспертизы по нему;</w:t>
      </w:r>
      <w:r>
        <w:br/>
      </w:r>
      <w:r>
        <w:rPr>
          <w:rFonts w:ascii="Times New Roman"/>
          <w:b w:val="false"/>
          <w:i w:val="false"/>
          <w:color w:val="000000"/>
          <w:sz w:val="28"/>
        </w:rPr>
        <w:t>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r>
        <w:br/>
      </w:r>
      <w:r>
        <w:rPr>
          <w:rFonts w:ascii="Times New Roman"/>
          <w:b w:val="false"/>
          <w:i w:val="false"/>
          <w:color w:val="000000"/>
          <w:sz w:val="28"/>
        </w:rPr>
        <w:t>
      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 с учетом предложений центрального уполномоченного органа по бюджетному планированию;</w:t>
      </w:r>
      <w:r>
        <w:br/>
      </w:r>
      <w:r>
        <w:rPr>
          <w:rFonts w:ascii="Times New Roman"/>
          <w:b w:val="false"/>
          <w:i w:val="false"/>
          <w:color w:val="000000"/>
          <w:sz w:val="28"/>
        </w:rPr>
        <w:t>
      заключение уполномоченного органа в сфере информации и связи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r>
        <w:br/>
      </w:r>
      <w:r>
        <w:rPr>
          <w:rFonts w:ascii="Times New Roman"/>
          <w:b w:val="false"/>
          <w:i w:val="false"/>
          <w:color w:val="000000"/>
          <w:sz w:val="28"/>
        </w:rPr>
        <w:t>
      заключение центрального уполномоченного органа по государственному планированию при планировании администратором бюджетных программ расходов на увеличение штатной численности;</w:t>
      </w:r>
      <w:r>
        <w:br/>
      </w:r>
      <w:r>
        <w:rPr>
          <w:rFonts w:ascii="Times New Roman"/>
          <w:b w:val="false"/>
          <w:i w:val="false"/>
          <w:color w:val="000000"/>
          <w:sz w:val="28"/>
        </w:rPr>
        <w:t>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 в соответствии с законодательством;</w:t>
      </w:r>
      <w:r>
        <w:br/>
      </w:r>
      <w:r>
        <w:rPr>
          <w:rFonts w:ascii="Times New Roman"/>
          <w:b w:val="false"/>
          <w:i w:val="false"/>
          <w:color w:val="000000"/>
          <w:sz w:val="28"/>
        </w:rPr>
        <w:t>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r>
        <w:br/>
      </w: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r>
        <w:br/>
      </w:r>
      <w:r>
        <w:rPr>
          <w:rFonts w:ascii="Times New Roman"/>
          <w:b w:val="false"/>
          <w:i w:val="false"/>
          <w:color w:val="000000"/>
          <w:sz w:val="28"/>
        </w:rPr>
        <w:t>
      копии поручений Президента Республики Казахстан и/или Премьер-Министра Республики Казахстан;</w:t>
      </w:r>
      <w:r>
        <w:br/>
      </w:r>
      <w:r>
        <w:rPr>
          <w:rFonts w:ascii="Times New Roman"/>
          <w:b w:val="false"/>
          <w:i w:val="false"/>
          <w:color w:val="000000"/>
          <w:sz w:val="28"/>
        </w:rPr>
        <w:t>
      расчет по обоснованию стоимости проекта в разбивке по годам;</w:t>
      </w:r>
      <w:r>
        <w:br/>
      </w:r>
      <w:r>
        <w:rPr>
          <w:rFonts w:ascii="Times New Roman"/>
          <w:b w:val="false"/>
          <w:i w:val="false"/>
          <w:color w:val="000000"/>
          <w:sz w:val="28"/>
        </w:rPr>
        <w:t>
      заключение администратора бюджетных программ на целесообразность реализации проекта;</w:t>
      </w:r>
      <w:r>
        <w:br/>
      </w: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 случаях уточнения и корректировки бюджета центральный уполномоченный орган по бюджетному планированию или местный уполномоченный орган по государственному планированию, в течение десяти рабочих дней после представления бюджетных заявок администраторами бюджетных программ, готовит по ним заключения и вносит на рассмотрение бюджетной комиссии.</w:t>
      </w:r>
      <w:r>
        <w:br/>
      </w:r>
      <w:r>
        <w:rPr>
          <w:rFonts w:ascii="Times New Roman"/>
          <w:b w:val="false"/>
          <w:i w:val="false"/>
          <w:color w:val="000000"/>
          <w:sz w:val="28"/>
        </w:rPr>
        <w:t>
      С учетом предложений бюджетной комиссии администраторы бюджетных программ в течение пяти рабочих дней уточняют бюджетные заявки по бюджетным программам, изменения по которым одобрены бюджетной комиссией, и представляют в центральный уполномоченный орган по бюджетному планированию или местный уполномоченный орган по государственному планированию на бумажном носителе, кроме того, администраторы республиканских бюджетных программ данные бюджетной заявки вносят в информационную систему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22 изложить в следующей редакции:</w:t>
      </w:r>
      <w:r>
        <w:br/>
      </w:r>
      <w:r>
        <w:rPr>
          <w:rFonts w:ascii="Times New Roman"/>
          <w:b w:val="false"/>
          <w:i w:val="false"/>
          <w:color w:val="000000"/>
          <w:sz w:val="28"/>
        </w:rPr>
        <w:t>
      «1) основные направления расходования средств на плановый период с указанием показателей результативности и 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Форма 01-114 (приложение 18)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органов внутренних дел и органов уголовно-исполнительной системы Министерства юстиции Республики Казахстан, органов финансовой полиции и государственной противопожарной службы в накопительные пенсионные фонды.</w:t>
      </w:r>
      <w:r>
        <w:br/>
      </w:r>
      <w:r>
        <w:rPr>
          <w:rFonts w:ascii="Times New Roman"/>
          <w:b w:val="false"/>
          <w:i w:val="false"/>
          <w:color w:val="000000"/>
          <w:sz w:val="28"/>
        </w:rPr>
        <w:t>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r>
        <w:br/>
      </w:r>
      <w:r>
        <w:rPr>
          <w:rFonts w:ascii="Times New Roman"/>
          <w:b w:val="false"/>
          <w:i w:val="false"/>
          <w:color w:val="000000"/>
          <w:sz w:val="28"/>
        </w:rPr>
        <w:t>
      Для обоснования планируемых расходов по прикомандированию сотрудников правоохранительных органов Республики Казахстан к Администрации Президента Республики Казахстан, аппаратам палат Парламента Республики Казахстан, Канцелярии Премьер-Министра Республики Казахстан и к международным организациям представляются акты Правительства Республики Казахстан.</w:t>
      </w:r>
      <w:r>
        <w:br/>
      </w:r>
      <w:r>
        <w:rPr>
          <w:rFonts w:ascii="Times New Roman"/>
          <w:b w:val="false"/>
          <w:i w:val="false"/>
          <w:color w:val="000000"/>
          <w:sz w:val="28"/>
        </w:rPr>
        <w:t>
      В графе 2 указывается сумма денежного содержания в месяц, которая состоит из сумм должностных окладов судей, военнослужащих, сотрудников органов внутренних дел и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w:t>
      </w:r>
      <w:r>
        <w:br/>
      </w:r>
      <w:r>
        <w:rPr>
          <w:rFonts w:ascii="Times New Roman"/>
          <w:b w:val="false"/>
          <w:i w:val="false"/>
          <w:color w:val="000000"/>
          <w:sz w:val="28"/>
        </w:rPr>
        <w:t>
</w:t>
      </w:r>
      <w:r>
        <w:rPr>
          <w:rFonts w:ascii="Times New Roman"/>
          <w:b w:val="false"/>
          <w:i w:val="false"/>
          <w:color w:val="000000"/>
          <w:sz w:val="28"/>
        </w:rPr>
        <w:t>
      дополнить пунктом 43-1 следующего содержания:</w:t>
      </w:r>
      <w:r>
        <w:br/>
      </w:r>
      <w:r>
        <w:rPr>
          <w:rFonts w:ascii="Times New Roman"/>
          <w:b w:val="false"/>
          <w:i w:val="false"/>
          <w:color w:val="000000"/>
          <w:sz w:val="28"/>
        </w:rPr>
        <w:t>
      «43-1.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r>
        <w:br/>
      </w:r>
      <w:r>
        <w:rPr>
          <w:rFonts w:ascii="Times New Roman"/>
          <w:b w:val="false"/>
          <w:i w:val="false"/>
          <w:color w:val="000000"/>
          <w:sz w:val="28"/>
        </w:rPr>
        <w:t>
</w:t>
      </w:r>
      <w:r>
        <w:rPr>
          <w:rFonts w:ascii="Times New Roman"/>
          <w:b w:val="false"/>
          <w:i w:val="false"/>
          <w:color w:val="000000"/>
          <w:sz w:val="28"/>
        </w:rPr>
        <w:t>
      дополнить пунктом 45-1 следующего содержания:</w:t>
      </w:r>
      <w:r>
        <w:br/>
      </w:r>
      <w:r>
        <w:rPr>
          <w:rFonts w:ascii="Times New Roman"/>
          <w:b w:val="false"/>
          <w:i w:val="false"/>
          <w:color w:val="000000"/>
          <w:sz w:val="28"/>
        </w:rPr>
        <w:t>
      «45-1. При планировании расходов по бюджетной программе, направленной на вложение целевого вклада, расчеты составляются по специфике 441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(Калиева А.Н.)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color w:val="000000"/>
          <w:sz w:val="28"/>
        </w:rPr>
        <w:t xml:space="preserve">      Министр                                    Б. Жамишев </w:t>
      </w:r>
    </w:p>
    <w:bookmarkStart w:name="z18"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марта 2012 года № 127 </w:t>
      </w:r>
    </w:p>
    <w:bookmarkEnd w:id="2"/>
    <w:bookmarkStart w:name="z19" w:id="3"/>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составлении и   </w:t>
      </w:r>
      <w:r>
        <w:br/>
      </w:r>
      <w:r>
        <w:rPr>
          <w:rFonts w:ascii="Times New Roman"/>
          <w:b w:val="false"/>
          <w:i w:val="false"/>
          <w:color w:val="000000"/>
          <w:sz w:val="28"/>
        </w:rPr>
        <w:t>
представления бюджетной заявки</w:t>
      </w:r>
    </w:p>
    <w:bookmarkEnd w:id="3"/>
    <w:p>
      <w:pPr>
        <w:spacing w:after="0"/>
        <w:ind w:left="0"/>
        <w:jc w:val="both"/>
      </w:pPr>
      <w:r>
        <w:rPr>
          <w:rFonts w:ascii="Times New Roman"/>
          <w:b w:val="false"/>
          <w:i w:val="false"/>
          <w:color w:val="000000"/>
          <w:sz w:val="28"/>
        </w:rPr>
        <w:t>Форма 02-411</w:t>
      </w:r>
    </w:p>
    <w:bookmarkStart w:name="z20" w:id="4"/>
    <w:p>
      <w:pPr>
        <w:spacing w:after="0"/>
        <w:ind w:left="0"/>
        <w:jc w:val="left"/>
      </w:pPr>
      <w:r>
        <w:rPr>
          <w:rFonts w:ascii="Times New Roman"/>
          <w:b/>
          <w:i w:val="false"/>
          <w:color w:val="000000"/>
        </w:rPr>
        <w:t xml:space="preserve"> 
Расчет расходов на приобретение автомобильных транспортных</w:t>
      </w:r>
      <w:r>
        <w:br/>
      </w:r>
      <w:r>
        <w:rPr>
          <w:rFonts w:ascii="Times New Roman"/>
          <w:b/>
          <w:i w:val="false"/>
          <w:color w:val="000000"/>
        </w:rPr>
        <w:t>
средств</w:t>
      </w:r>
    </w:p>
    <w:bookmarkEnd w:id="4"/>
    <w:p>
      <w:pPr>
        <w:spacing w:after="0"/>
        <w:ind w:left="0"/>
        <w:jc w:val="both"/>
      </w:pPr>
      <w:r>
        <w:rPr>
          <w:rFonts w:ascii="Times New Roman"/>
          <w:b w:val="false"/>
          <w:i w:val="false"/>
          <w:color w:val="000000"/>
          <w:sz w:val="28"/>
        </w:rPr>
        <w:t>                                                Код</w:t>
      </w:r>
      <w:r>
        <w:br/>
      </w:r>
      <w:r>
        <w:rPr>
          <w:rFonts w:ascii="Times New Roman"/>
          <w:b w:val="false"/>
          <w:i w:val="false"/>
          <w:color w:val="000000"/>
          <w:sz w:val="28"/>
        </w:rPr>
        <w:t>
Год:                                          _________</w:t>
      </w:r>
      <w:r>
        <w:br/>
      </w:r>
      <w:r>
        <w:rPr>
          <w:rFonts w:ascii="Times New Roman"/>
          <w:b w:val="false"/>
          <w:i w:val="false"/>
          <w:color w:val="000000"/>
          <w:sz w:val="28"/>
        </w:rPr>
        <w:t>
Вид данных (прогноз, план, отчет);           |         |</w:t>
      </w:r>
      <w:r>
        <w:br/>
      </w:r>
      <w:r>
        <w:rPr>
          <w:rFonts w:ascii="Times New Roman"/>
          <w:b w:val="false"/>
          <w:i w:val="false"/>
          <w:color w:val="000000"/>
          <w:sz w:val="28"/>
        </w:rPr>
        <w:t>
Функциональная группа:                       |         |</w:t>
      </w:r>
      <w:r>
        <w:br/>
      </w:r>
      <w:r>
        <w:rPr>
          <w:rFonts w:ascii="Times New Roman"/>
          <w:b w:val="false"/>
          <w:i w:val="false"/>
          <w:color w:val="000000"/>
          <w:sz w:val="28"/>
        </w:rPr>
        <w:t>
Администратор бюджетных программ:            |         |</w:t>
      </w:r>
      <w:r>
        <w:br/>
      </w:r>
      <w:r>
        <w:rPr>
          <w:rFonts w:ascii="Times New Roman"/>
          <w:b w:val="false"/>
          <w:i w:val="false"/>
          <w:color w:val="000000"/>
          <w:sz w:val="28"/>
        </w:rPr>
        <w:t>
государственное учреждение:                  |         |</w:t>
      </w:r>
      <w:r>
        <w:br/>
      </w:r>
      <w:r>
        <w:rPr>
          <w:rFonts w:ascii="Times New Roman"/>
          <w:b w:val="false"/>
          <w:i w:val="false"/>
          <w:color w:val="000000"/>
          <w:sz w:val="28"/>
        </w:rPr>
        <w:t>
Бюджетная программа:                         |         |</w:t>
      </w:r>
      <w:r>
        <w:br/>
      </w:r>
      <w:r>
        <w:rPr>
          <w:rFonts w:ascii="Times New Roman"/>
          <w:b w:val="false"/>
          <w:i w:val="false"/>
          <w:color w:val="000000"/>
          <w:sz w:val="28"/>
        </w:rPr>
        <w:t>
Специфика: Приобретение товаров,             |   411   |</w:t>
      </w:r>
      <w:r>
        <w:br/>
      </w:r>
      <w:r>
        <w:rPr>
          <w:rFonts w:ascii="Times New Roman"/>
          <w:b w:val="false"/>
          <w:i w:val="false"/>
          <w:color w:val="000000"/>
          <w:sz w:val="28"/>
        </w:rPr>
        <w:t>
относящихся к основным средствам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397"/>
        <w:gridCol w:w="1204"/>
        <w:gridCol w:w="1055"/>
        <w:gridCol w:w="943"/>
        <w:gridCol w:w="756"/>
        <w:gridCol w:w="1430"/>
        <w:gridCol w:w="1641"/>
        <w:gridCol w:w="1133"/>
        <w:gridCol w:w="1550"/>
      </w:tblGrid>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средства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денным</w:t>
            </w:r>
            <w:r>
              <w:br/>
            </w:r>
            <w:r>
              <w:rPr>
                <w:rFonts w:ascii="Times New Roman"/>
                <w:b w:val="false"/>
                <w:i w:val="false"/>
                <w:color w:val="000000"/>
                <w:sz w:val="20"/>
              </w:rPr>
              <w:t>
</w:t>
            </w:r>
            <w:r>
              <w:rPr>
                <w:rFonts w:ascii="Times New Roman"/>
                <w:b w:val="false"/>
                <w:i w:val="false"/>
                <w:color w:val="000000"/>
                <w:sz w:val="20"/>
              </w:rPr>
              <w:t>нормати-</w:t>
            </w:r>
            <w:r>
              <w:br/>
            </w:r>
            <w:r>
              <w:rPr>
                <w:rFonts w:ascii="Times New Roman"/>
                <w:b w:val="false"/>
                <w:i w:val="false"/>
                <w:color w:val="000000"/>
                <w:sz w:val="20"/>
              </w:rPr>
              <w:t>
</w:t>
            </w:r>
            <w:r>
              <w:rPr>
                <w:rFonts w:ascii="Times New Roman"/>
                <w:b w:val="false"/>
                <w:i w:val="false"/>
                <w:color w:val="000000"/>
                <w:sz w:val="20"/>
              </w:rPr>
              <w:t>вам</w:t>
            </w:r>
            <w:r>
              <w:br/>
            </w:r>
            <w:r>
              <w:rPr>
                <w:rFonts w:ascii="Times New Roman"/>
                <w:b w:val="false"/>
                <w:i w:val="false"/>
                <w:color w:val="000000"/>
                <w:sz w:val="20"/>
              </w:rPr>
              <w:t>
</w:t>
            </w:r>
            <w:r>
              <w:rPr>
                <w:rFonts w:ascii="Times New Roman"/>
                <w:b w:val="false"/>
                <w:i w:val="false"/>
                <w:color w:val="000000"/>
                <w:sz w:val="20"/>
              </w:rPr>
              <w:t>(ед.)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автомобильных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имеющиеся в</w:t>
            </w:r>
            <w:r>
              <w:br/>
            </w:r>
            <w:r>
              <w:rPr>
                <w:rFonts w:ascii="Times New Roman"/>
                <w:b w:val="false"/>
                <w:i w:val="false"/>
                <w:color w:val="000000"/>
                <w:sz w:val="20"/>
              </w:rPr>
              <w:t>
</w:t>
            </w:r>
            <w:r>
              <w:rPr>
                <w:rFonts w:ascii="Times New Roman"/>
                <w:b w:val="false"/>
                <w:i w:val="false"/>
                <w:color w:val="000000"/>
                <w:sz w:val="20"/>
              </w:rPr>
              <w:t>наличии (ед.)</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пуска</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мотренная</w:t>
            </w:r>
            <w:r>
              <w:br/>
            </w:r>
            <w:r>
              <w:rPr>
                <w:rFonts w:ascii="Times New Roman"/>
                <w:b w:val="false"/>
                <w:i w:val="false"/>
                <w:color w:val="000000"/>
                <w:sz w:val="20"/>
              </w:rPr>
              <w:t>
</w:t>
            </w:r>
            <w:r>
              <w:rPr>
                <w:rFonts w:ascii="Times New Roman"/>
                <w:b w:val="false"/>
                <w:i w:val="false"/>
                <w:color w:val="000000"/>
                <w:sz w:val="20"/>
              </w:rPr>
              <w:t>в бюджете</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года(тыс.</w:t>
            </w:r>
            <w:r>
              <w:br/>
            </w:r>
            <w:r>
              <w:rPr>
                <w:rFonts w:ascii="Times New Roman"/>
                <w:b w:val="false"/>
                <w:i w:val="false"/>
                <w:color w:val="000000"/>
                <w:sz w:val="20"/>
              </w:rPr>
              <w:t>
</w:t>
            </w:r>
            <w:r>
              <w:rPr>
                <w:rFonts w:ascii="Times New Roman"/>
                <w:b w:val="false"/>
                <w:i w:val="false"/>
                <w:color w:val="000000"/>
                <w:sz w:val="20"/>
              </w:rPr>
              <w:t>тенге)</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планируе-</w:t>
            </w:r>
            <w:r>
              <w:br/>
            </w:r>
            <w:r>
              <w:rPr>
                <w:rFonts w:ascii="Times New Roman"/>
                <w:b w:val="false"/>
                <w:i w:val="false"/>
                <w:color w:val="000000"/>
                <w:sz w:val="20"/>
              </w:rPr>
              <w:t>
</w:t>
            </w:r>
            <w:r>
              <w:rPr>
                <w:rFonts w:ascii="Times New Roman"/>
                <w:b w:val="false"/>
                <w:i w:val="false"/>
                <w:color w:val="000000"/>
                <w:sz w:val="20"/>
              </w:rPr>
              <w:t>мых</w:t>
            </w:r>
            <w:r>
              <w:br/>
            </w:r>
            <w:r>
              <w:rPr>
                <w:rFonts w:ascii="Times New Roman"/>
                <w:b w:val="false"/>
                <w:i w:val="false"/>
                <w:color w:val="000000"/>
                <w:sz w:val="20"/>
              </w:rPr>
              <w:t>
</w:t>
            </w:r>
            <w:r>
              <w:rPr>
                <w:rFonts w:ascii="Times New Roman"/>
                <w:b w:val="false"/>
                <w:i w:val="false"/>
                <w:color w:val="000000"/>
                <w:sz w:val="20"/>
              </w:rPr>
              <w:t>приобрести</w:t>
            </w:r>
            <w:r>
              <w:br/>
            </w:r>
            <w:r>
              <w:rPr>
                <w:rFonts w:ascii="Times New Roman"/>
                <w:b w:val="false"/>
                <w:i w:val="false"/>
                <w:color w:val="000000"/>
                <w:sz w:val="20"/>
              </w:rPr>
              <w:t>
</w:t>
            </w:r>
            <w:r>
              <w:rPr>
                <w:rFonts w:ascii="Times New Roman"/>
                <w:b w:val="false"/>
                <w:i w:val="false"/>
                <w:color w:val="000000"/>
                <w:sz w:val="20"/>
              </w:rPr>
              <w:t>(ед.)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зa</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(гр.хгр.</w:t>
            </w:r>
            <w:r>
              <w:br/>
            </w:r>
            <w:r>
              <w:rPr>
                <w:rFonts w:ascii="Times New Roman"/>
                <w:b w:val="false"/>
                <w:i w:val="false"/>
                <w:color w:val="000000"/>
                <w:sz w:val="20"/>
              </w:rPr>
              <w:t>
</w:t>
            </w:r>
            <w:r>
              <w:rPr>
                <w:rFonts w:ascii="Times New Roman"/>
                <w:b w:val="false"/>
                <w:i w:val="false"/>
                <w:color w:val="000000"/>
                <w:sz w:val="20"/>
              </w:rPr>
              <w:t>9)/1000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балансе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Служебные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Дежурные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центрального исполнительного</w:t>
      </w:r>
      <w:r>
        <w:br/>
      </w:r>
      <w:r>
        <w:rPr>
          <w:rFonts w:ascii="Times New Roman"/>
          <w:b w:val="false"/>
          <w:i w:val="false"/>
          <w:color w:val="000000"/>
          <w:sz w:val="28"/>
        </w:rPr>
        <w:t>
органа/руководитель государственного учреждения</w:t>
      </w:r>
      <w:r>
        <w:br/>
      </w:r>
      <w:r>
        <w:rPr>
          <w:rFonts w:ascii="Times New Roman"/>
          <w:b w:val="false"/>
          <w:i w:val="false"/>
          <w:color w:val="000000"/>
          <w:sz w:val="28"/>
        </w:rPr>
        <w:t>
______________________ 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 (начальник ФЭО)</w:t>
      </w:r>
      <w:r>
        <w:br/>
      </w:r>
      <w:r>
        <w:rPr>
          <w:rFonts w:ascii="Times New Roman"/>
          <w:b w:val="false"/>
          <w:i w:val="false"/>
          <w:color w:val="000000"/>
          <w:sz w:val="28"/>
        </w:rPr>
        <w:t>
______________________ _________________________________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