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88e5" w14:textId="3918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28 марта 2011 года № 37-2. Зарегистрировано Департаментом юстиции Западно-Казахстанской области 11 апреля 2011 года № 7-13-138.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10.10.2013 № 17-3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- 70 000 (семьдесят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и инвалидов Великой Отечественной войны, не вступившим в повторный брак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в годы войны в тылу, награжденными орденами и медалями - 5 000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до 18 лет ко Дню защиты детей - 4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достигшим возраста 90 лет и более единовременно ко дню рождения - 13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1, 2, 3-х групп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социально значимым заболеванием, согласно перечню, определенному действующему законодательству, находящимся на лечении и состоящим на учете в организациях здравоохранения единовременная выплата - 17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семьям (гражданам), пострадавшим от пожара, наводнения и другого стихийного бедствия природного и техногенного характера, по заявлению, единовременно – в размере, установленном соответствующей районной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 (гражданам) со среднедушевым доходом ниже прожиточного минимума, состоящими на учете в государственном учреждении "Чингирлауский районный отдел занятости и социальных программ", а также одиноко проживающим пенсионерам, единовременная выплата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смерти гражданина со среднедушевым доходом ниже прожиточного минимума, лицу, осуществившему погребение выплачивается единовременная выплата на погребение в размере 15 месячных расчетных показателей, установленного на соответствующий финансовый год на момент смерти гражданина, если обращение за единовременной выплатой на погребение последовало не позднее шести месяцев после месяца смерти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участникам, инвалидам Великой Отечественной войны и лицам приравненных к ним, их вдовам, семьям погибших военнослужащих, гражданам трудившимся и проходившим воинскую службу в тылу, социальная помощь на предоставление санаторно-курортного лечения в пределах средств, предусмотренных местным бюджетом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Чингирлауского районного маслихата Западно-Казахстанской области от 11.07.2011 </w:t>
      </w:r>
      <w:r>
        <w:rPr>
          <w:rFonts w:ascii="Times New Roman"/>
          <w:b w:val="false"/>
          <w:i w:val="false"/>
          <w:color w:val="000000"/>
          <w:sz w:val="28"/>
        </w:rPr>
        <w:t>№ 38-8</w:t>
      </w:r>
      <w:r>
        <w:rPr>
          <w:rFonts w:ascii="Times New Roman"/>
          <w:b w:val="false"/>
          <w:i w:val="false"/>
          <w:color w:val="ff0000"/>
          <w:sz w:val="28"/>
        </w:rPr>
        <w:t xml:space="preserve">, 16.04.2012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, 17.08.2012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 Б. Султангалиева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