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61a" w14:textId="8736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налогов и стоимости разовых талонов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июня 2011 года № 28-6. Зарегистрировано Департаментом юстиции Западно-Казахстанской области 15 июля 2011 года № 7-5-132. Утратило силу решением Жангалинского районного маслихата Западно-Казахстанской области от 21 января 2013 года № 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21.01.2013 № 6-9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Законами Республики Казахстан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"О введении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Кодекса Республики Казахстан "О налогах и других обязательных платежах в бюджет (Налоговый Кодекс)",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 и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 и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проектов (схем) зонирования земель увеличить ставки земельного налога на 50 процентов от базовых ставок земельного налога, установленных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единые ставки фиксированного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постоянную комиссию по бюджету, экономики, аграрной политики и экологии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Губашев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Саматов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N 28-6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оралманов,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</w:t>
      </w:r>
      <w:r>
        <w:br/>
      </w:r>
      <w:r>
        <w:rPr>
          <w:rFonts w:ascii="Times New Roman"/>
          <w:b/>
          <w:i w:val="false"/>
          <w:color w:val="000000"/>
        </w:rPr>
        <w:t>
оказанию услуг на рынках,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292"/>
        <w:gridCol w:w="1588"/>
        <w:gridCol w:w="341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Жангала (тенге)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сельских округах (тенге)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товаров, в том числе: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оборудованных мест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необорудованных мест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автомашин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автомашин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товаров, в том числе: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оборудованных мест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необорудованных мест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автомашин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автомашин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N 28-6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оралманов,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053"/>
        <w:gridCol w:w="1633"/>
        <w:gridCol w:w="20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Жангала (тенге)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сельских округах (тенге)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одного торгового места (за исключением деятельности, осуществляемой в стационарных помещениях):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реализация газет и журналов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реализация семян, посадочных материалов (саженцы, рассада), бахчевых культур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живых цветов, выращенных на дачных и придомовых участках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реализация кормов для животных и птиц, веников, метел, лесных ягод, меда, грибов и рыбы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N 28-6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644"/>
        <w:gridCol w:w="2567"/>
        <w:gridCol w:w="3092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налогообложения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объектов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фиксированного налога (в МРП)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компьютер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игровая дорожка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стол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