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ecfb" w14:textId="e83e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№ 28/2-IV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9 ноября 2011 года N 33/2-IV. Зарегистрировано управлением юстиции Глубоковского района Департамента юстиции Восточно-Казахстанской области 14 ноября 2011 года за N 5-9-156. Прекращено действие по истечении срока действия (письмо Глубоковского районного маслихата от 30 декабря 2011 года № 332)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Глубоковского районного маслихата от 30.12.2011 № 332).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под № 2558)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2011-2013 годы» от 29 декабря 2010 года № 28/2-IV (зарегистрировано в Реестре государственной регистрации нормативных правовых актов под № 5-9-142, опубликовано в газетах «Ақ бұлақ» от 7 января 2011 года № 1-2, «Огни Прииртышья» от 7 января 2011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3621139,9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1364890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2215680,7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3636356,1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целевые трансферты из республиканского бюджета в сумме 550524 тысячи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«25993 тысячи тенге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2011-2020 годы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15786 тысяч тенге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«13760 тысяч тенге на частичное субсидирование заработной платы, создание центров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Брагинец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33/2-IV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18"/>
        <w:gridCol w:w="618"/>
        <w:gridCol w:w="9629"/>
        <w:gridCol w:w="2017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3621139,9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1405459,2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35761,7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2215680,7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2215680,7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2215680,7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5"/>
        <w:gridCol w:w="687"/>
        <w:gridCol w:w="687"/>
        <w:gridCol w:w="8820"/>
        <w:gridCol w:w="2037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3636356,1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262207,4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228698,9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147411,9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146071,9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100660,5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1846636,9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1846636,9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1721817,9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648707,3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589470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173964,5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55955,7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-53132,2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23945,2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33/2-IV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0744"/>
        <w:gridCol w:w="1978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1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146071,9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33/2-IV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785"/>
        <w:gridCol w:w="1978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123022</w:t>
            </w:r>
          </w:p>
        </w:tc>
      </w:tr>
      <w:tr>
        <w:trPr>
          <w:trHeight w:val="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33/2-IV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водоснабжения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827"/>
        <w:gridCol w:w="1978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33/2-IV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827"/>
        <w:gridCol w:w="1978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123008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Алтайский»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Глубокое»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33/2-IV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831"/>
        <w:gridCol w:w="1975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25270,3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1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1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30092,3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2011 года № 33/2-IV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28/2-IV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806"/>
        <w:gridCol w:w="1999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123013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1803,7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