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530" w14:textId="741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27 декабря 2010 года № 932 "Об организации общественных работ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08 июля 2011 года N 1192. Зарегистрировано управлением юстиции Глубоковского района Департамента юстиции Восточно-Казахстанской области 08 августа 2011 года за N 5-9-154. Прекращено действие по истечении срока, на который постановление было принято (письмо Глубоковского районного акимата Восточно-Казахстанской области от 04 января 2012 года N 09-02-10)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Глубоковского районного акимата ВКО от 04.01.2012 N 09-02-10).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27 декабря 2010 года № 932 «Об организации общественных работ в 2011 году» (зарегистрированное в реестре государственной регистрации нормативных правовых актов от 30 января 2011 года № 5-9-146, опубликованное 08 февраля 2011 года в районной газете «Огни Прииртышья»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год. На работах по уборке и благоустройству поселка Глубокое сумму оплаты утвердить из расчета 1,8 минимальной заработной платы, с дополнительной оплатой за проживание на территории повышенного радиационного риска.».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