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ceb2" w14:textId="a36c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предоставляемых кандидатам в депутаты мажилиса Парламента Республики Казахстан, областного и районного маслихатов на договорной основе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29 ноября 2011 года N 198. Зарегистрировано Управлением юстиции Бородулихинского района Департамента юстиции Восточно-Казахстанской области 09 декабря 2011 года за N 5-8-140. Прекращено действие по истечении срока, на который постановление было принято, на основании письма аппарата акима Бородулихинского района Восточно-Казахстанской области от 04 мая 2012 года N 1153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постановление было принято, на основании письма аппарата акима Бородулихинского района Восточно-Казахстанской области от 04.05.2012 N 1153.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помещения для встреч избирателей с кандидатами в депутаты Мажилиса Парламента Республики Казахстан, областного и районного маслихатов на договорной основе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     Г. Акулов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Бородулихинской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 комиссии              С. Харченко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 28 ноября 2011 год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ноября 2011 года № 198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Об определении помещений, предоставляемых кандидатам в</w:t>
      </w:r>
      <w:r>
        <w:br/>
      </w:r>
      <w:r>
        <w:rPr>
          <w:rFonts w:ascii="Times New Roman"/>
          <w:b/>
          <w:i w:val="false"/>
          <w:color w:val="000000"/>
        </w:rPr>
        <w:t>
депутаты Мажилиса Парламента Республики Казахстан, областного и</w:t>
      </w:r>
      <w:r>
        <w:br/>
      </w:r>
      <w:r>
        <w:rPr>
          <w:rFonts w:ascii="Times New Roman"/>
          <w:b/>
          <w:i w:val="false"/>
          <w:color w:val="000000"/>
        </w:rPr>
        <w:t>
районного маслихатов на договорной основе для встреч с</w:t>
      </w:r>
      <w:r>
        <w:br/>
      </w:r>
      <w:r>
        <w:rPr>
          <w:rFonts w:ascii="Times New Roman"/>
          <w:b/>
          <w:i w:val="false"/>
          <w:color w:val="000000"/>
        </w:rPr>
        <w:t>
избирателями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4785"/>
        <w:gridCol w:w="7548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и поселкового округов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встреч избирателей с кандидатами в депутаты Мажилиса Парламента Республики Казахстан, областного и районного маслихатов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сельский округ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Бородулиха, здание районного дома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Успенка, здание неполной средней школы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Бакинский сельский округ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Аул, фойе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Коростели, фойе средней школы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сельский округ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Дмитриевка, сельский клуб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Боровое, ул. Центральная 2а, жилой дом Омаровой Р.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Новодворовский сельский округ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Ивановка, здание сельского клуба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Переменовский сельский округ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Переменовка, фойе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Андроновка, фойе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Орловка, фойе начальной школы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Шелехово, актовый зал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Орловка, актовый зал неполной средней школы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Подборный сельский округ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Камышенка, здание средней школы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Бель-Агачский сельский округ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Зенковка, Краснопольская средняя школа, актовый зал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 сельский округ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Новопокровка, актовый зал средней школы им. Ауэзова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Сарногай, здание фельдшерского пункта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 сельский округ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Петропавловка, актовый зал средней школы им. Т. Аманова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Мещанка, учебный класс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Изатулла, офис лесничества «Семей орманы»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Зубаирский сельский округ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Зубаир, помещение Зубаирской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Байтанат, помещение Байтанатской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Жана-Аул, контора крестьянского хозяйства «Бекбай»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Михайличенково,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Уба-Форпостовский сельский округ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Уба-Форпост, актовый зал средней школы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Новошульбинский сельский округ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Новая Шульба, контора ТОО «Лазарев и К»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Новая Шульба, контора крестьянского хозяйства «Алекс»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Новая Шульба, контора ТОО «КХ Красный партизан»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Потапенково, здание бывшего магазина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Солоновка, здание сельского клуба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Пролетарка, контора ПК «Новошульбинский»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Ключики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магазина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Песчанка, актовый зал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2-я Пятилетка, актовый зал средней школы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Жерновский сельский округ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Жерновка,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Боровлянка, контора государственного учреждения государственный лесной природный резерват «Семей орманы»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Пол-лог, контора крестьянского хозяйства «Алмакос»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Красноярский сельский округ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Яр, здание сельского клуба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 сельский округ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Буркотово, здание сельского клуба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Сахновка, здание неполной средней школы,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Жезкентский поселковый округ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Жезкент, здание средней школы №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Жезкент, здание средней школы №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