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3e8" w14:textId="eb56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2011 года N 38/3-IV. Зарегистрировано управлением юстиции города Риддера Департамента юстиции Восточно-Казахстанской области 06 января 2012 года за N 5-4-160. Утратило силу - решением Риддерского городского маслихата Восточно-Казахстанской области от 12 марта 2018 года № 19/17-VI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19/17-VI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базовых ставок налога на земли, выделенные под автостоянки (паркинги), на территории города Риддера по базовым ставкам на земли населенных пунктов, за исключением земель, занятых жилищным фондом, в том числе строениями и сооружениями при нем, увеличенным в зависимости от категории автостоянок,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 относящиеся к городу Риддеру, близлежащим населенным пунктом определить город Риддер.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категорий автостоянок (паркингов) по г. Риддер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235"/>
        <w:gridCol w:w="228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 маслихата А. Ермаков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базовых ставок налога на земли, выделенные под</w:t>
      </w:r>
      <w:r>
        <w:br/>
      </w:r>
      <w:r>
        <w:rPr>
          <w:rFonts w:ascii="Times New Roman"/>
          <w:b/>
          <w:i w:val="false"/>
          <w:color w:val="000000"/>
        </w:rPr>
        <w:t>автостоянки (паркинги),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 маслихата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