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e897" w14:textId="627e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20 декабря 2011 года № 300-IV. Зарегистрировано Департаментом юстиции Атырауской области 11 января 2012 года № 4-4-193. Утратило силу - постановлением Исатайского районного маслихата Атырауской области № 101-V от 7 февраля 2013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Исатайского районного маслихата Атырауской области № 101-V от 07.02.2013.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и рассмотрев постановление районного акимата от 14 декабря 2011 года № 210,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2 373 620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752 310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1 613 111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2 374 024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24 270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-22 082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22 082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-24 674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решением Исатайского районного маслихата от 27.07.2012 № </w:t>
      </w:r>
      <w:r>
        <w:rPr>
          <w:rFonts w:ascii="Times New Roman"/>
          <w:b w:val="false"/>
          <w:i w:val="false"/>
          <w:color w:val="000000"/>
          <w:sz w:val="28"/>
        </w:rPr>
        <w:t>52-V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15.10.2012 № </w:t>
      </w:r>
      <w:r>
        <w:rPr>
          <w:rFonts w:ascii="Times New Roman"/>
          <w:b w:val="false"/>
          <w:i w:val="false"/>
          <w:color w:val="000000"/>
          <w:sz w:val="28"/>
        </w:rPr>
        <w:t>63-V;</w:t>
      </w:r>
      <w:r>
        <w:rPr>
          <w:rFonts w:ascii="Times New Roman"/>
          <w:b w:val="false"/>
          <w:i w:val="false"/>
          <w:color w:val="ff0000"/>
          <w:sz w:val="28"/>
        </w:rPr>
        <w:t xml:space="preserve">04.12.2012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72-V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районного бюджета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2011 года № 472-IV "Об областном бюджете на 2012-2014 годы" будет формироваться за счет следующих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налоговые поступления: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установленные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установленные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с аукционов;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имущества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консульских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неналоговые поступления в бюджет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в бюджет района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поступления от погашения выданных из бюджета района кредитов,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финансовых активов государства, находящихся в коммунальной собственности района, займов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2012 год объем субвенций в сумме – 944 237 тысяч тенге, передаваемый из областного бюджета в районный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2012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4 094 тысяч тенге –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75 885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1 555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5 684 тысяч тенге –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18 615 тысяч тенге –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16 347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5 064 тысяч тенге – на реализации,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100 703 тысяч тенге – на ремонт объектов в рамках развития сельских населенных пунктов по Программе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365 тысяч тенге – на повышение оплаты труда учителям, прошедшим повышение квалификации по учебным программам АОО "Назарбаев интеллектуальные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Исатайского районного маслихата от 25.05.2012 № </w:t>
      </w:r>
      <w:r>
        <w:rPr>
          <w:rFonts w:ascii="Times New Roman"/>
          <w:b w:val="false"/>
          <w:i w:val="false"/>
          <w:color w:val="000000"/>
          <w:sz w:val="28"/>
        </w:rPr>
        <w:t>39-V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04.12.2012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72-V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2012 год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предусмотрены целевые текущие трансферты 4 889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2012 год в рамках "Программы занятости 2020"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2 464 тысяч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исключен.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8 409 тысяч тенге – на обеспечение деятельности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3 716 тысяч тенге – на проведение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внесено изменение - решением Исатайского районного маслихата от 04.12.2012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72-V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Исатайского районного маслихата от 10.04.2012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20-V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2012 год предусмотрены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6 843 тысяч тенге – на затраты по коммунальным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20 500 тысяч тенге – на обеспечение жильем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395 тысяч тенге – на оказание социальной помощи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66 340 тысяч тенге – на подготовку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16 403 тысяч тенге – на приобретения оборудования для организации обеспечения горячим питанием учащихся в общеобразовательных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6 877 тысяч тенге – на обеспечение горячим питанием детей из малообеспеченных семей учащихся в общеобразовательных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19 200 тысяч тенге – на выплату разницы по отпускным пособиям работникам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3 585 тысяч тенге – на разработку проектно-сметной документации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 тысяч тенге – на разработку проектно-сметной документации на капитальный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8 000 тысяч тенге – на водообеспечение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внесено дополнение - решением Исатайского районного маслихата от 25.05.2012 № </w:t>
      </w:r>
      <w:r>
        <w:rPr>
          <w:rFonts w:ascii="Times New Roman"/>
          <w:b w:val="false"/>
          <w:i w:val="false"/>
          <w:color w:val="000000"/>
          <w:sz w:val="28"/>
        </w:rPr>
        <w:t>39-V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15.10.2012 № </w:t>
      </w:r>
      <w:r>
        <w:rPr>
          <w:rFonts w:ascii="Times New Roman"/>
          <w:b w:val="false"/>
          <w:i w:val="false"/>
          <w:color w:val="000000"/>
          <w:sz w:val="28"/>
        </w:rPr>
        <w:t>63-V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04.12.2012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72-V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2012 год предусмотрены целевые трансферты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159 370 тысяч тенге –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63 430 тысяч тенге – на развитие теплоэнергетической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Исатайского районного маслихата от 25.05.2012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39-V; </w:t>
      </w:r>
      <w:r>
        <w:rPr>
          <w:rFonts w:ascii="Times New Roman"/>
          <w:b w:val="false"/>
          <w:i w:val="false"/>
          <w:color w:val="ff0000"/>
          <w:sz w:val="28"/>
        </w:rPr>
        <w:t xml:space="preserve">15.10.2012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63-V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2012 год предусмотрены бюджетные кредиты для специалистов социальной сферы сельских населенных пунктов в сумме 24 270 тысяч тенге, в соответствии утвержденным положениям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Исатайского районного маслихата от 10.04.2012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20-V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на 2012 год в сумме 4 285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новой редакции - решением Исатайского районного маслихата от 27.07.2012 № </w:t>
      </w:r>
      <w:r>
        <w:rPr>
          <w:rFonts w:ascii="Times New Roman"/>
          <w:b w:val="false"/>
          <w:i w:val="false"/>
          <w:color w:val="000000"/>
          <w:sz w:val="28"/>
        </w:rPr>
        <w:t>52-V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в размере 5 тысяч тенге оказания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Специалистам здравоохранения, образования, социального обеспечения, культуры и спорта, работающим расположенных в сельских населенных пунктах, устанавливаются 25 процентов оклады и тарифные ставки по сравнению с окладами и тарифными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районных бюджетных программ, принимая во внимания утвержденные программы решением областного маслихата,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перечень финансирования бюджетных программ районного бюджета на 2012 год в разрезе аппаратов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Тулебаев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 Кадимов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 от 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72-V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дополнения в решение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300-IV "О районном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Исатайского районного маслихата от 04.12.2012 № </w:t>
      </w:r>
      <w:r>
        <w:rPr>
          <w:rFonts w:ascii="Times New Roman"/>
          <w:b w:val="false"/>
          <w:i w:val="false"/>
          <w:color w:val="ff0000"/>
          <w:sz w:val="28"/>
        </w:rPr>
        <w:t xml:space="preserve">72-V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512"/>
        <w:gridCol w:w="533"/>
        <w:gridCol w:w="10378"/>
        <w:gridCol w:w="2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2 373 620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752 310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131 400</w:t>
            </w:r>
          </w:p>
        </w:tc>
      </w:tr>
      <w:tr>
        <w:trPr>
          <w:trHeight w:val="7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495 070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464 710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28 632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4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5 739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66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3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6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142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21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1 613 111</w:t>
            </w:r>
          </w:p>
        </w:tc>
      </w:tr>
      <w:tr>
        <w:trPr>
          <w:trHeight w:val="12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1 613 111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1 613 111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705"/>
        <w:gridCol w:w="685"/>
        <w:gridCol w:w="9351"/>
        <w:gridCol w:w="2067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ІІ.Расходы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2 374 024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183 844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138 613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39 314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82 237</w:t>
            </w:r>
          </w:p>
        </w:tc>
      </w:tr>
      <w:tr>
        <w:trPr>
          <w:trHeight w:val="6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81 807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33 952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11 279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11 279</w:t>
            </w:r>
          </w:p>
        </w:tc>
      </w:tr>
      <w:tr>
        <w:trPr>
          <w:trHeight w:val="10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1 437 244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271 807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250 335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192 725</w:t>
            </w:r>
          </w:p>
        </w:tc>
      </w:tr>
      <w:tr>
        <w:trPr>
          <w:trHeight w:val="13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21 472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1 109 496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1 109 496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1 019 964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73 749</w:t>
            </w:r>
          </w:p>
        </w:tc>
      </w:tr>
      <w:tr>
        <w:trPr>
          <w:trHeight w:val="10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15 418</w:t>
            </w:r>
          </w:p>
        </w:tc>
      </w:tr>
      <w:tr>
        <w:trPr>
          <w:trHeight w:val="1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55 941</w:t>
            </w:r>
          </w:p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</w:tr>
      <w:tr>
        <w:trPr>
          <w:trHeight w:val="1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8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</w:p>
        </w:tc>
      </w:tr>
      <w:tr>
        <w:trPr>
          <w:trHeight w:val="7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</w:p>
        </w:tc>
      </w:tr>
      <w:tr>
        <w:trPr>
          <w:trHeight w:val="1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128 429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115 299</w:t>
            </w:r>
          </w:p>
        </w:tc>
      </w:tr>
      <w:tr>
        <w:trPr>
          <w:trHeight w:val="1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14 815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14 815</w:t>
            </w:r>
          </w:p>
        </w:tc>
      </w:tr>
      <w:tr>
        <w:trPr>
          <w:trHeight w:val="2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50 126</w:t>
            </w:r>
          </w:p>
        </w:tc>
      </w:tr>
      <w:tr>
        <w:trPr>
          <w:trHeight w:val="12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14 673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16 246</w:t>
            </w:r>
          </w:p>
        </w:tc>
      </w:tr>
      <w:tr>
        <w:trPr>
          <w:trHeight w:val="10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13 130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12 008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366 804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126 204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</w:p>
        </w:tc>
      </w:tr>
      <w:tr>
        <w:trPr>
          <w:trHeight w:val="5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211 456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159 370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159 370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66 921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39 198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1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30 643</w:t>
            </w:r>
          </w:p>
        </w:tc>
      </w:tr>
      <w:tr>
        <w:trPr>
          <w:trHeight w:val="5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28 643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28 643</w:t>
            </w:r>
          </w:p>
        </w:tc>
      </w:tr>
      <w:tr>
        <w:trPr>
          <w:trHeight w:val="1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14 205</w:t>
            </w:r>
          </w:p>
        </w:tc>
      </w:tr>
      <w:tr>
        <w:trPr>
          <w:trHeight w:val="1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</w:t>
            </w:r>
          </w:p>
        </w:tc>
      </w:tr>
      <w:tr>
        <w:trPr>
          <w:trHeight w:val="1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63 430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19 589</w:t>
            </w:r>
          </w:p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1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20 289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</w:p>
        </w:tc>
      </w:tr>
      <w:tr>
        <w:trPr>
          <w:trHeight w:val="1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3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01"/>
        <w:gridCol w:w="581"/>
        <w:gridCol w:w="313"/>
        <w:gridCol w:w="560"/>
        <w:gridCol w:w="6"/>
        <w:gridCol w:w="9493"/>
        <w:gridCol w:w="19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-22 082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00"/>
        <w:gridCol w:w="684"/>
        <w:gridCol w:w="685"/>
        <w:gridCol w:w="9183"/>
        <w:gridCol w:w="206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300-IV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98"/>
        <w:gridCol w:w="775"/>
        <w:gridCol w:w="9066"/>
        <w:gridCol w:w="232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1737840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834688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631979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596484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</w:p>
        </w:tc>
      </w:tr>
      <w:tr>
        <w:trPr>
          <w:trHeight w:val="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882612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882612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784"/>
        <w:gridCol w:w="826"/>
        <w:gridCol w:w="904"/>
        <w:gridCol w:w="8139"/>
        <w:gridCol w:w="23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1737840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145381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124132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</w:t>
            </w:r>
          </w:p>
        </w:tc>
      </w:tr>
      <w:tr>
        <w:trPr>
          <w:trHeight w:val="1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66442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66442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1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1312221</w:t>
            </w:r>
          </w:p>
        </w:tc>
      </w:tr>
      <w:tr>
        <w:trPr>
          <w:trHeight w:val="1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184707</w:t>
            </w:r>
          </w:p>
        </w:tc>
      </w:tr>
      <w:tr>
        <w:trPr>
          <w:trHeight w:val="2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184707</w:t>
            </w:r>
          </w:p>
        </w:tc>
      </w:tr>
      <w:tr>
        <w:trPr>
          <w:trHeight w:val="2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1100100</w:t>
            </w:r>
          </w:p>
        </w:tc>
      </w:tr>
      <w:tr>
        <w:trPr>
          <w:trHeight w:val="2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1100100</w:t>
            </w:r>
          </w:p>
        </w:tc>
      </w:tr>
      <w:tr>
        <w:trPr>
          <w:trHeight w:val="2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1029317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70783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</w:t>
            </w:r>
          </w:p>
        </w:tc>
      </w:tr>
      <w:tr>
        <w:trPr>
          <w:trHeight w:val="2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106716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77154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</w:tr>
      <w:tr>
        <w:trPr>
          <w:trHeight w:val="1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2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77"/>
        <w:gridCol w:w="815"/>
        <w:gridCol w:w="8988"/>
        <w:gridCol w:w="22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09"/>
        <w:gridCol w:w="820"/>
        <w:gridCol w:w="859"/>
        <w:gridCol w:w="8227"/>
        <w:gridCol w:w="22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857"/>
        <w:gridCol w:w="815"/>
        <w:gridCol w:w="9026"/>
        <w:gridCol w:w="22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09"/>
        <w:gridCol w:w="821"/>
        <w:gridCol w:w="859"/>
        <w:gridCol w:w="8225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848"/>
        <w:gridCol w:w="810"/>
        <w:gridCol w:w="9044"/>
        <w:gridCol w:w="2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районном бюджете на 2012-2014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300-IV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98"/>
        <w:gridCol w:w="775"/>
        <w:gridCol w:w="9066"/>
        <w:gridCol w:w="232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1737840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824688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621979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596484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</w:p>
        </w:tc>
      </w:tr>
      <w:tr>
        <w:trPr>
          <w:trHeight w:val="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882612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882612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5"/>
        <w:gridCol w:w="801"/>
        <w:gridCol w:w="743"/>
        <w:gridCol w:w="8310"/>
        <w:gridCol w:w="231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1737840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1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1312221</w:t>
            </w:r>
          </w:p>
        </w:tc>
      </w:tr>
      <w:tr>
        <w:trPr>
          <w:trHeight w:val="1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1029317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</w:tr>
      <w:tr>
        <w:trPr>
          <w:trHeight w:val="1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19"/>
        <w:gridCol w:w="989"/>
        <w:gridCol w:w="9027"/>
        <w:gridCol w:w="2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09"/>
        <w:gridCol w:w="820"/>
        <w:gridCol w:w="820"/>
        <w:gridCol w:w="8266"/>
        <w:gridCol w:w="22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8"/>
        <w:gridCol w:w="814"/>
        <w:gridCol w:w="9071"/>
        <w:gridCol w:w="22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09"/>
        <w:gridCol w:w="820"/>
        <w:gridCol w:w="821"/>
        <w:gridCol w:w="8264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808"/>
        <w:gridCol w:w="809"/>
        <w:gridCol w:w="9089"/>
        <w:gridCol w:w="22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300-IV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секвестрированию в процессе исполнения местных бюджетов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844"/>
        <w:gridCol w:w="747"/>
        <w:gridCol w:w="11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программы определенные решением областного маслихата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 от 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72-V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дополнения в решение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300-IV "О районном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Исатайского районного маслихата от 04.12.2012 № </w:t>
      </w:r>
      <w:r>
        <w:rPr>
          <w:rFonts w:ascii="Times New Roman"/>
          <w:b w:val="false"/>
          <w:i w:val="false"/>
          <w:color w:val="ff0000"/>
          <w:sz w:val="28"/>
        </w:rPr>
        <w:t xml:space="preserve">72-V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2012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1"/>
        <w:gridCol w:w="6142"/>
        <w:gridCol w:w="1754"/>
        <w:gridCol w:w="1825"/>
        <w:gridCol w:w="1710"/>
        <w:gridCol w:w="1691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"/>
        <w:gridCol w:w="6114"/>
        <w:gridCol w:w="1750"/>
        <w:gridCol w:w="1827"/>
        <w:gridCol w:w="1712"/>
        <w:gridCol w:w="1718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81807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192725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39198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5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54413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