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5c27" w14:textId="056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№ 439 от 21 декабря 2011 года. Зарегистрировано Департаментом юстиции Атырауской области 27 декабря 2011 года № 4-3-165. Утратило силу - постановлением Махамбетского районного акимата Атырауской области от 06 февраля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Махамбетского районного акимата Атырауской области от 06.02.2013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 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занятости и социальных программ" (Н.Калиев)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Арстанова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