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1f10" w14:textId="1681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родителям или иным законным представителям 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23 декабря 2011 года № 359. Зарегистрировано Департаментом юстиции Атырауской области 30 декабря 2011 года № 4-2-164. Утратило силу - постановлением Жылыойского районного акимата Атырауской области от 07 марта 2013 года № 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Жылыойского районного акимата Атырауской области от 07.03.2013 № 123.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и постановлением акимата Атырауской области от 21 ноября 2011 года № 329 "О возмещении затрат родителям или иным законным представителям детей-инвалидов, обучающихся и воспитывающихся на дому"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материальную помощь в размере 2,4 месячного расчетного показателя ежемесячно, родителям или иным законным представителям детей-инвалидов для возмещения затрат на обучение и воспитание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Жылыойского района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Е. Далабаева –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регистрации, вводится в действие со дня первого офицального опубликования и распространяется на отношения возникшие с 1 августа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Нугманов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