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d778" w14:textId="227d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23 декабря 2010 года N 4-30-1 "О бюджете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28 июля 2011 года N 4-36-1. Зарегистрировано Департаментом юстиции Северо-Казахстанской области 15 августа 2011 года N 13-3-139.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тридцатой сессии районного маслихата четвертого созыва «О бюджете района на 2011-2013 годы» от 23 декабря 2010 года № 4-30-1 (зарегистрировано в Реестре государственной регистрации нормативных правовых актов за № 13-3-126 и опубликовано 17 февраля 2011 года в газете «Айыртау таңы», 17 февраля 2011 года в газете «Айыртауские зори»),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доходы – 3 156 216 тысяч тенге, в том числе по:</w:t>
      </w:r>
      <w:r>
        <w:br/>
      </w:r>
      <w:r>
        <w:rPr>
          <w:rFonts w:ascii="Times New Roman"/>
          <w:b w:val="false"/>
          <w:i w:val="false"/>
          <w:color w:val="000000"/>
          <w:sz w:val="28"/>
        </w:rPr>
        <w:t>
      налоговым поступлениям – 432 436 тысяч тенге;</w:t>
      </w:r>
      <w:r>
        <w:br/>
      </w:r>
      <w:r>
        <w:rPr>
          <w:rFonts w:ascii="Times New Roman"/>
          <w:b w:val="false"/>
          <w:i w:val="false"/>
          <w:color w:val="000000"/>
          <w:sz w:val="28"/>
        </w:rPr>
        <w:t>
      неналоговым поступлениям – 4 605 тысяч тенге;</w:t>
      </w:r>
      <w:r>
        <w:br/>
      </w:r>
      <w:r>
        <w:rPr>
          <w:rFonts w:ascii="Times New Roman"/>
          <w:b w:val="false"/>
          <w:i w:val="false"/>
          <w:color w:val="000000"/>
          <w:sz w:val="28"/>
        </w:rPr>
        <w:t>
      поступлениям от продажи основного капитала – 25 141 тысяч тенге;</w:t>
      </w:r>
      <w:r>
        <w:br/>
      </w:r>
      <w:r>
        <w:rPr>
          <w:rFonts w:ascii="Times New Roman"/>
          <w:b w:val="false"/>
          <w:i w:val="false"/>
          <w:color w:val="000000"/>
          <w:sz w:val="28"/>
        </w:rPr>
        <w:t>
      поступлениям трансфертов – 2 694 034 тысяч тенге;»;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затраты – 3 151 512,4 тысяч тенге;»;</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сальдо по операциям с финансовыми активами – 14000,0 тысяч тенге, в том числе:</w:t>
      </w:r>
      <w:r>
        <w:br/>
      </w:r>
      <w:r>
        <w:rPr>
          <w:rFonts w:ascii="Times New Roman"/>
          <w:b w:val="false"/>
          <w:i w:val="false"/>
          <w:color w:val="000000"/>
          <w:sz w:val="28"/>
        </w:rPr>
        <w:t>
      приобретение финансовых активов – 14000,0 тысяч тенге;</w:t>
      </w:r>
      <w:r>
        <w:br/>
      </w:r>
      <w:r>
        <w:rPr>
          <w:rFonts w:ascii="Times New Roman"/>
          <w:b w:val="false"/>
          <w:i w:val="false"/>
          <w:color w:val="000000"/>
          <w:sz w:val="28"/>
        </w:rPr>
        <w:t>
      поступления от продажи финансовых активов государства – 0,0»;</w:t>
      </w:r>
      <w:r>
        <w:br/>
      </w:r>
      <w:r>
        <w:rPr>
          <w:rFonts w:ascii="Times New Roman"/>
          <w:b w:val="false"/>
          <w:i w:val="false"/>
          <w:color w:val="000000"/>
          <w:sz w:val="28"/>
        </w:rPr>
        <w:t>
      в пункте 10:</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51876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в пункте 12: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53464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дополнить подпунктами 6), 7) следующего содержания:</w:t>
      </w:r>
      <w:r>
        <w:br/>
      </w:r>
      <w:r>
        <w:rPr>
          <w:rFonts w:ascii="Times New Roman"/>
          <w:b w:val="false"/>
          <w:i w:val="false"/>
          <w:color w:val="000000"/>
          <w:sz w:val="28"/>
        </w:rPr>
        <w:t>
      «6) 905 тысяч тенге – на внедрение системы электронного документооборота (СЭД);</w:t>
      </w:r>
      <w:r>
        <w:br/>
      </w:r>
      <w:r>
        <w:rPr>
          <w:rFonts w:ascii="Times New Roman"/>
          <w:b w:val="false"/>
          <w:i w:val="false"/>
          <w:color w:val="000000"/>
          <w:sz w:val="28"/>
        </w:rPr>
        <w:t>
      7) 42000 тысяч тенге – на реконструкцию объектов теплоснабжения в селе Саумалколь.»;</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Утвердить резерв местного исполнительного органа района на 2011 год в сумме 1481 тысяч тенге.»;</w:t>
      </w:r>
      <w:r>
        <w:br/>
      </w:r>
      <w:r>
        <w:rPr>
          <w:rFonts w:ascii="Times New Roman"/>
          <w:b w:val="false"/>
          <w:i w:val="false"/>
          <w:color w:val="000000"/>
          <w:sz w:val="28"/>
        </w:rPr>
        <w:t>
      приложения 1, 5, 6 к указанному решению изложить в новой редакции согласно приложениям 1, 2, 3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2011 года.</w:t>
      </w:r>
    </w:p>
    <w:bookmarkEnd w:id="1"/>
    <w:p>
      <w:pPr>
        <w:spacing w:after="0"/>
        <w:ind w:left="0"/>
        <w:jc w:val="both"/>
      </w:pPr>
      <w:r>
        <w:rPr>
          <w:rFonts w:ascii="Times New Roman"/>
          <w:b w:val="false"/>
          <w:i/>
          <w:color w:val="000000"/>
          <w:sz w:val="28"/>
        </w:rPr>
        <w:t>      Председатель ХХXVI                         Секретарь</w:t>
      </w:r>
      <w:r>
        <w:br/>
      </w:r>
      <w:r>
        <w:rPr>
          <w:rFonts w:ascii="Times New Roman"/>
          <w:b w:val="false"/>
          <w:i w:val="false"/>
          <w:color w:val="000000"/>
          <w:sz w:val="28"/>
        </w:rPr>
        <w:t>
</w:t>
      </w:r>
      <w:r>
        <w:rPr>
          <w:rFonts w:ascii="Times New Roman"/>
          <w:b w:val="false"/>
          <w:i/>
          <w:color w:val="000000"/>
          <w:sz w:val="28"/>
        </w:rPr>
        <w:t>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Ю. Дундук                                  К. Хамзин</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28 июля 2011 года № 4-36-1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both"/>
      </w:pPr>
      <w:r>
        <w:rPr>
          <w:rFonts w:ascii="Times New Roman"/>
          <w:b w:val="false"/>
          <w:i w:val="false"/>
          <w:color w:val="000000"/>
          <w:sz w:val="28"/>
        </w:rPr>
        <w:t>Бюджет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813"/>
        <w:gridCol w:w="6973"/>
        <w:gridCol w:w="22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3 156 216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432 436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240 294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240 294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145 162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25 141</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имущества, закрепленного за государственными учреждениями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7073"/>
        <w:gridCol w:w="233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3 151 512,4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230 999,0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127 830,0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21 718,0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2 208 661,0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2 208 661,0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2 029 179,0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184 158,0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184 158,0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303 048,0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219 981,0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88 245,0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71 763,8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21 608,7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39 344,3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10 002,3</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w:t>
            </w:r>
            <w:r>
              <w:br/>
            </w:r>
            <w:r>
              <w:rPr>
                <w:rFonts w:ascii="Times New Roman"/>
                <w:b w:val="false"/>
                <w:i w:val="false"/>
                <w:color w:val="000000"/>
                <w:sz w:val="20"/>
              </w:rPr>
              <w:t>
коммунального хозяйства, пассажирского транспорта и автомобильных дорог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28 июля 2011 года № 4-36-1</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Бюджетные программы по сельским округам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93"/>
        <w:gridCol w:w="693"/>
        <w:gridCol w:w="7973"/>
        <w:gridCol w:w="18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168377,7</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73"/>
        <w:gridCol w:w="1513"/>
        <w:gridCol w:w="1073"/>
        <w:gridCol w:w="1593"/>
        <w:gridCol w:w="1413"/>
        <w:gridCol w:w="1613"/>
        <w:gridCol w:w="17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Анто</w:t>
            </w:r>
            <w:r>
              <w:br/>
            </w:r>
            <w:r>
              <w:rPr>
                <w:rFonts w:ascii="Times New Roman"/>
                <w:b w:val="false"/>
                <w:i w:val="false"/>
                <w:color w:val="000000"/>
                <w:sz w:val="20"/>
              </w:rPr>
              <w:t>
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Воло</w:t>
            </w:r>
            <w:r>
              <w:br/>
            </w:r>
            <w:r>
              <w:rPr>
                <w:rFonts w:ascii="Times New Roman"/>
                <w:b w:val="false"/>
                <w:i w:val="false"/>
                <w:color w:val="000000"/>
                <w:sz w:val="20"/>
              </w:rPr>
              <w:t>
дарско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w:t>
            </w:r>
            <w:r>
              <w:br/>
            </w:r>
            <w:r>
              <w:rPr>
                <w:rFonts w:ascii="Times New Roman"/>
                <w:b w:val="false"/>
                <w:i w:val="false"/>
                <w:color w:val="000000"/>
                <w:sz w:val="20"/>
              </w:rPr>
              <w:t>
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Гуса</w:t>
            </w:r>
            <w:r>
              <w:br/>
            </w:r>
            <w:r>
              <w:rPr>
                <w:rFonts w:ascii="Times New Roman"/>
                <w:b w:val="false"/>
                <w:i w:val="false"/>
                <w:color w:val="000000"/>
                <w:sz w:val="20"/>
              </w:rPr>
              <w:t>
ков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Елецко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Жеты</w:t>
            </w:r>
            <w:r>
              <w:br/>
            </w:r>
            <w:r>
              <w:rPr>
                <w:rFonts w:ascii="Times New Roman"/>
                <w:b w:val="false"/>
                <w:i w:val="false"/>
                <w:color w:val="000000"/>
                <w:sz w:val="20"/>
              </w:rPr>
              <w:t>
коль</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w:t>
            </w:r>
            <w:r>
              <w:br/>
            </w:r>
            <w:r>
              <w:rPr>
                <w:rFonts w:ascii="Times New Roman"/>
                <w:b w:val="false"/>
                <w:i w:val="false"/>
                <w:color w:val="000000"/>
                <w:sz w:val="20"/>
              </w:rPr>
              <w:t>
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Имантау</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Казанско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67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8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7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продолжение талицы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93"/>
        <w:gridCol w:w="1653"/>
        <w:gridCol w:w="1673"/>
        <w:gridCol w:w="1913"/>
        <w:gridCol w:w="1833"/>
        <w:gridCol w:w="165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Кара</w:t>
            </w:r>
            <w:r>
              <w:br/>
            </w:r>
            <w:r>
              <w:rPr>
                <w:rFonts w:ascii="Times New Roman"/>
                <w:b w:val="false"/>
                <w:i w:val="false"/>
                <w:color w:val="000000"/>
                <w:sz w:val="20"/>
              </w:rPr>
              <w:t>
тальско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 Камсак</w:t>
            </w:r>
            <w:r>
              <w:br/>
            </w:r>
            <w:r>
              <w:rPr>
                <w:rFonts w:ascii="Times New Roman"/>
                <w:b w:val="false"/>
                <w:i w:val="false"/>
                <w:color w:val="000000"/>
                <w:sz w:val="20"/>
              </w:rPr>
              <w:t>
тинско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Лобанов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Украин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7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8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12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28 июля 2011 года № 4-36-1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23 декабря 2010 года № 4-30-1</w:t>
      </w:r>
    </w:p>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181"/>
        <w:gridCol w:w="1737"/>
      </w:tblGrid>
      <w:tr>
        <w:trPr>
          <w:trHeight w:val="2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59 805</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льготы для посещения бани и парикмахерской участникам и инвалидам Великой Отечественной войны и лиц, приравненных к ним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катарстрофы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