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dd8d" w14:textId="68cd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7 февраля 2011 года № 45 "Об организации оплачиваемых общественных работ в Узункольском районе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17 мая 2011 года № 138. Зарегистрировано Управлением юстиции Узункольского района Костанайской области 1 июня 2011 года № 9-19-156.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местком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оплачиваемых общественных работ в Узункольском районе на 2011 год" от 7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9-19-148, опубликовано 3 марта 2011 года в газете "Нұрлы жол")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прилагаемый перечень организаций, предоставляющих временные рабочие места для организаций общественных работ, виды, объемы и конкретные условия общественных работ в Узункольском районе на 2011 год;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труда граждан, занятых на общественных работах, в размере полутораминимальной месячной заработной платы в месяц за счет средств районного бюджета.".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осуществлять направление безработных на оплачиваемые общественные работы;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перечислять из средств местного бюджета денежные средства на расчетные счета работодателей, для возмещения расходов на оплату труда участников общественных работ, в том числе обязательные пенсионные взносы, подоходный налог, установленные на 2011 год.";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таблицы после слов "объемы и" дополнить словом "конкретные";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графы в таблице изложить в новой редакции: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"Конкретные условия работ".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Ташмагамбетов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"Узункольская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районная больница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здравоохранения акимата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области", главный врач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К. 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Узункольского района",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Г. Аскарова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 Узункольского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района", 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 Сарсенова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