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99e" w14:textId="12a8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30 декабря 2011 декабря № 372. Зарегистрировано Управлением юстиции Алтынсаринского района Костанайской области 16 января 2012 года № 9-5-138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акимата Алтынсаринского района Костанайской области от 10.05.2012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Алтынсаринском районе на 2012 год,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Алтынсаринского района Костанайской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Алтынсаринского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Алтынсаринского района Костанайской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Казыбаева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