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fcc" w14:textId="00ce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сентября 2011 года № 492. Зарегистрировано Управлением юстиции города Рудного Костанайской области 7 октября 2011 года № 9-2-191. Утратило силу - Решением маслихата города Рудного Костанайской области от 25 сентября 2013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города Рудного Костанайской области от 25.09.2013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медицинское обследование и (или)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–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государственном учреждении "Рудненский городской отдел занятости и социальных программ" (далее –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инвалидам всех категорий, без учета доходов, на возмещение расходов, связанных с проездом в санатории и реабилитационные центры,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Рудного Костанайской области 06.12.2012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Рудного Костанайской области 06.12.2012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Лицам, имеющим право на получение ежемесячной социальной помощи по нескольким категориям, пособие выплачивается только по одной категории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города Рудного Костанайской области 06.12.2012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Е. Скаредина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 Искуженов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
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маслихата города Рудного Костанайской области 06.12.2012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города Рудного Костанайской области от 19.02.2013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Рудного Костанайской области от 19.02.2013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потребителя, прилагаются документ, удостоверяющий его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медицинское обследование и (или)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медицинское обследование и (или)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инвалидов всех категорий, без учета доходов, на возмещение расходов, связанных с проездом в санатории 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