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38a1" w14:textId="3043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базовых ставок платы за земельные участки при их предоставлении в частную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декабря 2011 года № 3 и Решение маслихата Костанайской области от 8 декабря 2011 года № 452. Зарегистрировано Департаментом юстиции Костанайской области 13 января 2012 года № 3792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базовые ставки платы за земельные участки при их предоставлении в частную собственность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Тукенов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земельных отношений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Тюркин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Кисленкова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№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решению маслихата № 452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</w:t>
      </w:r>
      <w:r>
        <w:br/>
      </w:r>
      <w:r>
        <w:rPr>
          <w:rFonts w:ascii="Times New Roman"/>
          <w:b/>
          <w:i w:val="false"/>
          <w:color w:val="000000"/>
        </w:rPr>
        <w:t>
при их предоставлении в частную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изменением на казахском языке, текст на русском языке не изменяется, постановлением акимата Костанайской области от 14.03.2014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Костанайской области от 14.03.2014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2973"/>
        <w:gridCol w:w="2873"/>
      </w:tblGrid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 платы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квадратный метр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(областной центр)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 от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центра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Поселки и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расположенные в зонах: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лесостепной, степной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сухостепной полупустынной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пустынной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базовые ставки платы за земельные участки в городах применяются в пределах границ, определенных их генеральными планами.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