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03e" w14:textId="02db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IV созыва Шахтинского городского маслихата Карагандинской области от 9 декабря 2011 года N 760/39. Зарегистрировано Управлением юстиции города Шахтинск Карагандинской области 30 декабря 2011 года N 8-8-102.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5 625 643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791 382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4 790 785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5 679 238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54 891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1 с изменениями, внесенными решениями Шахтинского городского маслихата Карагандинской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N 788/3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822/5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14.08.2012 </w:t>
      </w:r>
      <w:r>
        <w:rPr>
          <w:rFonts w:ascii="Times New Roman"/>
          <w:b w:val="false"/>
          <w:i w:val="false"/>
          <w:color w:val="000000"/>
          <w:sz w:val="28"/>
        </w:rPr>
        <w:t>N 851/8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>N 876/12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20.11.2012 </w:t>
      </w:r>
      <w:r>
        <w:rPr>
          <w:rFonts w:ascii="Times New Roman"/>
          <w:b w:val="false"/>
          <w:i w:val="false"/>
          <w:color w:val="000000"/>
          <w:sz w:val="28"/>
        </w:rPr>
        <w:t>N 882/13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N 887/14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городского бюджета целевые трансферты и бюджетные кредиты из областного бюджета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2012 год установлены нормативы распределения доходов в областной бюджет, бюджету города Шахтинск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2012 год предусмотрен объем субвенций, передаваемый из областного бюджета городу Шахтинск - 1 895 638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предусмотрены целевые трансферты и бюджетные кредиты администраторам бюджетных программ города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2012 год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городских бюджетных программ, не подлежащих секвестру в процессе исполнения городского бюджета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города на 2012 год в сумме 10 908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9 с изменениями, внесенными решением Шахтинского городского маслихата Карагандинской области от 09.11.2012 </w:t>
      </w:r>
      <w:r>
        <w:rPr>
          <w:rFonts w:ascii="Times New Roman"/>
          <w:b w:val="false"/>
          <w:i w:val="false"/>
          <w:color w:val="000000"/>
          <w:sz w:val="28"/>
        </w:rPr>
        <w:t>N 876/12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Литвинов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10.12.2012 N 887/14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10.12.2012 N 887/14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администраторам бюджетных программ города</w:t>
      </w:r>
      <w:r>
        <w:br/>
      </w:r>
      <w:r>
        <w:rPr>
          <w:rFonts w:ascii="Times New Roman"/>
          <w:b/>
          <w:i w:val="false"/>
          <w:color w:val="000000"/>
        </w:rPr>
        <w:t>на 2012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10.12.2012 N 887/14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Шахан на 2012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09.11.2012 N 876/12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Долинка на 2012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09.11.2012 N 876/12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Новодолинский на 2012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09.11.2012 N 876/12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23.04.2012 N 817/4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городского бюджета на 2012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