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ffc5" w14:textId="fe1f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ХХХIV сессии Каражалского городского маслихата от 23 декабря 2010 года N 300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ХХXХV сессии Каражалского городского маслихата Карагандинской области от 2 декабря 2011 года N 406. Зарегистрировано Управлением юстиции города Каражал Карагандинской области 12 декабря 2011 года N 8-5-118.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8-5-105, опубликовано в газете "Қазыналы өңір" от 31 декабря 2010 года N 51-1),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31 марта 2011 года N 322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8-5-108, опубликовано в газете "Қазыналы өңір" от 23 апреля 2011 года N 17),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ХХХVIII сессии Каражалского городского маслихата от 6 июня 2011 года N 339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8-5-111, опубликовано в газете "Қазыналы өңір" от 2 июля 2011 года N 27),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ХXXXI сессии Каражалского городского маслихата от 17 августа 2011 года N 365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8-5-114, опубликовано в газете "Қазыналы өңір" от 3 сентября 2011 года N 36),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ХXXXIV сессии Каражалского городского маслихата от 14 ноября 2011 года N 396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8-5-116, опубликовано в газете "Қазыналы өңір" от 29 ноября 2011 года  N 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"1 349 016" заменить цифрами "1 347 163";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"556 511" заменить цифрами "555 221";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"10 230" заменить цифрами "10 723";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"874" заменить цифрами "1 671";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"781 401" заменить цифрами "779 548";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"1 390 005" заменить цифрами "1 388 153";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40 179" заменить цифрами "минус 40 180";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"40 179" заменить цифрами "40 180";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"52 501" заменить цифрами "52 500";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ХXXXV сессии                  Т. Касимов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2011 года N 406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657"/>
        <w:gridCol w:w="615"/>
        <w:gridCol w:w="10769"/>
        <w:gridCol w:w="164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1347163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555221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127852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35834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</w:t>
            </w:r>
          </w:p>
        </w:tc>
      </w:tr>
      <w:tr>
        <w:trPr>
          <w:trHeight w:val="6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9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</w:p>
        </w:tc>
      </w:tr>
      <w:tr>
        <w:trPr>
          <w:trHeight w:val="5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42"/>
        <w:gridCol w:w="784"/>
        <w:gridCol w:w="742"/>
        <w:gridCol w:w="9971"/>
        <w:gridCol w:w="1621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1388153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114519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12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12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630409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614222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9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12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87091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87091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40085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9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-40180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2011 года N 406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Поступление целевых трансфертов из областного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4"/>
        <w:gridCol w:w="1566"/>
      </w:tblGrid>
      <w:tr>
        <w:trPr>
          <w:trHeight w:val="720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218381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7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94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30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</w:t>
            </w:r>
          </w:p>
        </w:tc>
      </w:tr>
      <w:tr>
        <w:trPr>
          <w:trHeight w:val="630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7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4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безперебойного теплоснабжения малых городов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94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630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повышения мобильности трудовых ресурсов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585" w:hRule="atLeast"/>
        </w:trPr>
        <w:tc>
          <w:tcPr>
            <w:tcW w:w="1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2011 года N 406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 города на 2011 год</w:t>
      </w:r>
      <w:r>
        <w:br/>
      </w:r>
      <w:r>
        <w:rPr>
          <w:rFonts w:ascii="Times New Roman"/>
          <w:b/>
          <w:i w:val="false"/>
          <w:color w:val="000000"/>
        </w:rPr>
        <w:t>
по администраторам бюджетных программ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3"/>
        <w:gridCol w:w="1587"/>
      </w:tblGrid>
      <w:tr>
        <w:trPr>
          <w:trHeight w:val="76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0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218381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7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37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63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</w:tr>
      <w:tr>
        <w:trPr>
          <w:trHeight w:val="72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7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94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</w:p>
        </w:tc>
      </w:tr>
      <w:tr>
        <w:trPr>
          <w:trHeight w:val="63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67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42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63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безперебойного теплоснабжения малых городов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96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63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2011 года N 406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</w:t>
      </w:r>
      <w:r>
        <w:br/>
      </w:r>
      <w:r>
        <w:rPr>
          <w:rFonts w:ascii="Times New Roman"/>
          <w:b/>
          <w:i w:val="false"/>
          <w:color w:val="000000"/>
        </w:rPr>
        <w:t>
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623"/>
        <w:gridCol w:w="1622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117345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