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21e" w14:textId="d161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31 марта 2011 года N 13/1. Зарегистрировано Управлением юстиции города Темиртау Карагандинской области 26 апреля 2011 года N 8-3-118. Утратило силу постановлением акимата города Темиртау Карагандинской области от 19 января 2012 года N 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Темиртау Карагандинской области от 19.01.2012 N 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оказания социальной поддержки безработных граждан, относящихся к целевым группам,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годы", зарегистрированным в Реестре государственной регистрации нормативных правовых актов под N 8-3-112,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"Отдел занятости и социальных программ города Темиртау"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Финансирование мероприятий по созданию социальных рабочих мест производить за счет средств городского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оплату труда безработным гражданам, финансируемую из средств городского бюджета, в размере одной минимальной заработной платы, установленной на 2011 год, с учетом 50-ти процентного вклада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Темиртау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официального опубликования и распространяется на 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2011 года N 13/1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работодателей, предлагающих организацию социальных рабочих мест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отбора работодателей, предлагающих организацию социальных рабочих мест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определяют порядок отбора работодателей, предлагающих организацию социальных рабочих мест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социальное рабочее место – рабочее место, создаваемое работодателем на договорной основе с местным уполномоченным органом,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целевые группы – группы лиц,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испытывающие затруднения в трудоустройстве и требующие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– государственное учреждение "Отдел занятости и социальных программ города Темиртау", обеспечивающее содействие в занятости населения и социальную защиту от безработицы в городе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Порядок отбора работодателей, предлагающих организацию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работодатель подает заявку на организацию социальных рабочих мест в уполномоченный орган и предоставляет учредительные документы либо свидетельство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отборе работодателей, предлагающих организацию социальных рабочих мест, уполномоченный орган учитывает платежеспособность предприятия, своевременность выплаты заработной платы, соответствие рабочего места нормам техники безопасности, соблюдение норм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Социальные рабочие места организуются путем предоставления или создания временных рабочих мест работодателями на основе договоров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Уполномоченный орган заключает с работодателем договор о трудоустройстве безработных на социальные рабочие места, который должен содержать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Договор заключается на срок не более 6 месяцев.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Оплата труда безработных, трудоустроенных на социальные рабочие места, осуществляется работодателем ежемесячно в соответствии с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города Темиртау" оплату труда безработным, трудоустроенным на социальные рабочие места, производит за фактически выполненный объем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настоящих Правил возлагается на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