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7fe67" w14:textId="f97fe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24 декабря 2010 года № 34-9 "Об утверждении Правил оказания жилищной помощи малообеспеченным семьям (гражданам) по Кордайскому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20 декабря  2011 года № 45-6. Зарегистрировано Кордайским управлением юстиции 5 января 2012 года за № 6-5-134. Утратило силу решением Кордайского районного маслихата от 10 декабря 2013 года № 24-6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Кордайского районного маслихата от 10.12.2013 № 24-6.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районный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Кордайского районного маслихата от 24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34-9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оказания жилищной помощи малообеспеченным семьям (гражданам) по Кордайскому району» (зарегистрировано в Реестре государственной регистрации нормативных правовых актов за № 6-5-120, опубликовано 26 января 2011 года в газете </w:t>
      </w:r>
      <w:r>
        <w:rPr>
          <w:rFonts w:ascii="Times New Roman"/>
          <w:b/>
          <w:i w:val="false"/>
          <w:color w:val="000000"/>
          <w:sz w:val="28"/>
        </w:rPr>
        <w:t>«</w:t>
      </w:r>
      <w:r>
        <w:rPr>
          <w:rFonts w:ascii="Times New Roman"/>
          <w:b w:val="false"/>
          <w:i w:val="false"/>
          <w:color w:val="000000"/>
          <w:sz w:val="28"/>
        </w:rPr>
        <w:t>Қордай шамшырағы» - «Кордайский маяк» № 27) следующие изменения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жилищной помощи малообеспеченным семьям (гражданам) по Кордайскому району, утвержденных указанным решением: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второй абзац пункта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«уполномоченный орган – коммунальное государственное учреждение «Отдел занятости и социальных программ акимата Кордайского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первый абзац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«Жилищная помощь определяется как разница между суммой оплаты на содержание жилого дома (жилого здания), потребление коммунальных услуг и услуг связи, в части увеличения абонентской платы за телефон, подключенный к сети телекоммуникаций, арендной платы за пользование жилищем в пределах норм и предельно-допустимого уровня расходов семьи на эти цели.»;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«Размер жилищной помощи не может превышать сумму фактических расходов на оплату на содержание жилого дома (жилого здания), потребления коммунальных услуг и услуг связи в части увеличения абонентской платы за телефон, подключение сети телекоммуникаций, арендной платы за пользование жилищем, арендованным местным исполнительным органом в частном жилищном фонде.»;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«норма потребления электроэнергии (в месяц) – 80 киловатт на каждого члена семьи;».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экономики, финансов, бюджета, развития местного самоуправления и по рассмотрению проектов договоров о выкупе земельного участка.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Э. Заманов                                 Т.Сугирбай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