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812a" w14:textId="9b88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20 декабря 2011 года № 47-11. Зарегистрировано Управлением Юстиции Байзакского района 16 января 2012 года за № 6-2-135. Утратило силу решением Байзакского районного маслихата Жамбылской области от 16 марта 2018 года № 26-7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По всему тексту</w:t>
      </w:r>
      <w:r>
        <w:rPr>
          <w:rFonts w:ascii="Times New Roman"/>
          <w:b w:val="false"/>
          <w:i w:val="false"/>
          <w:color w:val="ff0000"/>
          <w:sz w:val="28"/>
        </w:rPr>
        <w:t xml:space="preserve"> внесены изменения на казахском языке, текст на русском языке не изменяется решением Байзакского районного маслихата Жамбылской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статьей-422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согласно приложению единые ставки фиксированного налога для всех налогоплательщиков осуществляющих деятельность на территории Байзакского района на единицу объекта налогообложения в месяц.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Байзакского районного маслихата по экономическому развитию региона, финансу, бюджету, административно-территориальному обустройству и по защите прав человека (А. Укибаеву).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Унетаева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47-11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 осуществляющих деятельность на территории Байзакского района на единицу объекта налогообложения в месяц.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794"/>
        <w:gridCol w:w="5997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