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d2aa" w14:textId="cbdd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городу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четвертого созыва Жамбылской области от 14 декабря 2011 года N 45-5. Зарегистрировано управлением юстиции города Тараз Жамбылской области 18 января 2012 года за номером 6-1-141. Утратило силу решением Таразcкого городского маслихата Жамбылской области от 27 июня 2012 года № 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решением Таразcкого городского маслихата Жамбылской области от 27 июня 2012 года </w:t>
      </w:r>
      <w:r>
        <w:rPr>
          <w:rFonts w:ascii="Times New Roman"/>
          <w:b w:val="false"/>
          <w:i w:val="false"/>
          <w:color w:val="ff0000"/>
          <w:sz w:val="28"/>
        </w:rPr>
        <w:t>№ 5-6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городу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Таразского городского маслихата от 14 мая 2010 года 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малообеспеченным семьям (гражданам) по городу Тараз» (зарегистрировано в Реестре государственной регистрации нормативных правовых актов за № 6-1-106, опубликовано 23 июня 2010 года в газете «Жамбыл-Тараз» №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Нурымова                                У. Байшигашев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 семьям (гражданам) по городу Тараз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малообеспеченным семьям (гражданам) по городу Тараз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202020"/>
          <w:sz w:val="28"/>
        </w:rPr>
        <w:t xml:space="preserve">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02020"/>
          <w:sz w:val="28"/>
        </w:rPr>
        <w:t>от 16 апреля 1997 года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- юридическое или физическое лицо, занимающееся, предоставлением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-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уполномоченный орган – коммунальное государственное учреждение «Отдел занятости и социальных программ акимата города Тараз».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за счет средств местного бюджета малообеспеченным семьям (гражданам)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услуг,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лицам,постоянно проживающим в городе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устанавливается к совокупному доходу семьи в размере 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Официально не подтвержденные доходы учитываются в размере не ниже минимальной заработной платы на каждого трудоспособного члена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для начисления жилищной помощи, исчисляется в порядке, определенном законодательством об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на целый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>      8</w:t>
      </w:r>
      <w:r>
        <w:rPr>
          <w:rFonts w:ascii="Times New Roman"/>
          <w:b w:val="false"/>
          <w:i w:val="false"/>
          <w:color w:val="000000"/>
          <w:sz w:val="28"/>
        </w:rPr>
        <w:t>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фактически начисленных коммунальных услуг по счетчикам индивидуального учета потребления не должны превышать установленную норму потребления по данным видам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10. </w:t>
      </w:r>
      <w:r>
        <w:rPr>
          <w:rFonts w:ascii="Times New Roman"/>
          <w:b w:val="false"/>
          <w:i w:val="false"/>
          <w:color w:val="000000"/>
          <w:sz w:val="28"/>
        </w:rPr>
        <w:t>При изменении доли предельно допустимых расходов семьи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уполномоченный орган производит перерасчет ранее назначенной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Получатели жилищной помощи в течение десяти дней информируют </w:t>
      </w:r>
      <w:r>
        <w:rPr>
          <w:rFonts w:ascii="Times New Roman"/>
          <w:b w:val="false"/>
          <w:i w:val="false"/>
          <w:color w:val="20202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Незаконно полученные суммы жилищной помощи подлежат возврату получателем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13. При назначении жилищной помощи учитываются следующие н</w:t>
      </w:r>
      <w:r>
        <w:rPr>
          <w:rFonts w:ascii="Times New Roman"/>
          <w:b w:val="false"/>
          <w:i w:val="false"/>
          <w:color w:val="000000"/>
          <w:sz w:val="28"/>
        </w:rPr>
        <w:t>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>для одиноких граждан – 30 квадратных метров,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202020"/>
          <w:sz w:val="28"/>
        </w:rPr>
        <w:t>потребления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на семью от одного до трех человек – 80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четырех и более человек – 300 </w:t>
      </w:r>
      <w:r>
        <w:rPr>
          <w:rFonts w:ascii="Times New Roman"/>
          <w:b w:val="false"/>
          <w:i w:val="false"/>
          <w:color w:val="202020"/>
          <w:sz w:val="28"/>
        </w:rPr>
        <w:t>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расхода газа </w:t>
      </w:r>
      <w:r>
        <w:rPr>
          <w:rFonts w:ascii="Times New Roman"/>
          <w:b w:val="false"/>
          <w:i w:val="false"/>
          <w:color w:val="202020"/>
          <w:sz w:val="28"/>
        </w:rPr>
        <w:t>(в месяц)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плиты, центрального отопления и горячего водоснабжения – 18 кубических метров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плиты, отсутствии центрального горячего водоснабжения и газового водонагревателя – 22 кубических метров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услугодателей, а компенсации повышения тарифов абонентской платы за телефон - на лицевые счета абонентов.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Отношения не урегулированные настоящими Правилами регулируются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