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5ce" w14:textId="2421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22 декабря 2010 года N 41-239 "О бюджете Сарканского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20 октября 2011 года N 51-301. Зарегистрировано Управлением юстиции Сарканского района Департамента юстиции Алматинской области 25 октября 2011 N 2-17-105.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Сарканского районного маслихата от 22 декабря 2010 года "О бюджете Сарканского района на 2011-2013 годы" N 41-239 (зарегистрировано в Управлении юстиции Сарканского района в государственном Реестре нормативных правовых актов 31 декабря 2010 года N 2-17-94, опубликовано в газете "Саркан" за N 2 от 07 января 2011 года), внесено изменение Сарканским районным маслихатом 22 февраля 2011 года N 44-265 в решение "Сарканского районного маслихата от 22 декабря 2010 года "О бюджете Сарканского района на 2011-2013 годы" за N 41-239 (зарегистрировано в Управлении юстиции Сарканского района в государственном Реестре нормативных правовых актов 23 февраля 2011 года N 2-17-95, опубликовано в газете Саркан" N 12 от 04 марта 2011 года); внесено изменение и дополнение Сарканским районным маслихатом 18 марта 2011 года N 45-269 в решение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31 марта 2011 года за N 2-17-100, опубликовано в газете "Саркан" N 19 от 15 апреля 2011 года), внесено изменение Сарканским районным маслихатом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46-237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25 апреля 2011 года за N 2-17-103, опубликовано в газете "Саркан" за N 21-22 от 29 апреля 2011 года), внесено изменение Сарканским районным маслихатом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48-279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28 июля 2011 года за N 2-17-104, опубликовано в газете "Саркан" за N 37 от 5 августа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"3149727" заменить на цифру "3496266",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"2970173" заменить на цифру "3316712".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"3186061" заменить на цифру "3532600";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"Чистые бюджетные кредитования" "27655" заменить на цифру "30182";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"Погашение кредита" цифру "832" заменить на цифру "664".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Приложение 22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Приложение 18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Приложение 20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Приложение 9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Приложение 17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Приложение 16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51 сессии районного маслихата              Кулахметова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Рахметкалиев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29"/>
        <w:gridCol w:w="486"/>
        <w:gridCol w:w="9885"/>
        <w:gridCol w:w="17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3496266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8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4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3316712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3316712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65"/>
        <w:gridCol w:w="726"/>
        <w:gridCol w:w="648"/>
        <w:gridCol w:w="9043"/>
        <w:gridCol w:w="17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3532600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184072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15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8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2073356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199499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9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198575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186375</w:t>
            </w:r>
          </w:p>
        </w:tc>
      </w:tr>
      <w:tr>
        <w:trPr>
          <w:trHeight w:val="9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1579843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1578544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294014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5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65256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</w:t>
            </w:r>
          </w:p>
        </w:tc>
      </w:tr>
      <w:tr>
        <w:trPr>
          <w:trHeight w:val="15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9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18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573982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58702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440435</w:t>
            </w:r>
          </w:p>
        </w:tc>
      </w:tr>
      <w:tr>
        <w:trPr>
          <w:trHeight w:val="8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440435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430371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74825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</w:p>
        </w:tc>
      </w:tr>
      <w:tr>
        <w:trPr>
          <w:trHeight w:val="9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13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12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88901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9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12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19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9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8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13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48"/>
        <w:gridCol w:w="661"/>
        <w:gridCol w:w="9627"/>
        <w:gridCol w:w="1797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59"/>
        <w:gridCol w:w="598"/>
        <w:gridCol w:w="598"/>
        <w:gridCol w:w="9073"/>
        <w:gridCol w:w="181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49"/>
        <w:gridCol w:w="604"/>
        <w:gridCol w:w="9633"/>
        <w:gridCol w:w="186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-66516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06"/>
        <w:gridCol w:w="649"/>
        <w:gridCol w:w="649"/>
        <w:gridCol w:w="9009"/>
        <w:gridCol w:w="181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реализацию программы "Балапан" дошкольным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
выделено из областного бюджета целевые текущие трансферты для</w:t>
      </w:r>
      <w:r>
        <w:br/>
      </w:r>
      <w:r>
        <w:rPr>
          <w:rFonts w:ascii="Times New Roman"/>
          <w:b/>
          <w:i w:val="false"/>
          <w:color w:val="000000"/>
        </w:rPr>
        <w:t>
укрепления материально-технической базы и проведение</w:t>
      </w:r>
      <w:r>
        <w:br/>
      </w:r>
      <w:r>
        <w:rPr>
          <w:rFonts w:ascii="Times New Roman"/>
          <w:b/>
          <w:i w:val="false"/>
          <w:color w:val="000000"/>
        </w:rPr>
        <w:t>
капитального ремонта детских садов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6"/>
        <w:gridCol w:w="650"/>
        <w:gridCol w:w="688"/>
        <w:gridCol w:w="8680"/>
        <w:gridCol w:w="18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69953,0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 развитие объектов образования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6"/>
        <w:gridCol w:w="707"/>
        <w:gridCol w:w="707"/>
        <w:gridCol w:w="8544"/>
        <w:gridCol w:w="19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298758,0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государственного жилищного строительства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86"/>
        <w:gridCol w:w="648"/>
        <w:gridCol w:w="648"/>
        <w:gridCol w:w="614"/>
        <w:gridCol w:w="8041"/>
        <w:gridCol w:w="190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32978,0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системы водоснабжения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87"/>
        <w:gridCol w:w="649"/>
        <w:gridCol w:w="649"/>
        <w:gridCol w:w="8641"/>
        <w:gridCol w:w="19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409631,0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республиканского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>
ежемесячные выплаты денежных средств опекунам (попечителям) на</w:t>
      </w:r>
      <w:r>
        <w:br/>
      </w:r>
      <w:r>
        <w:rPr>
          <w:rFonts w:ascii="Times New Roman"/>
          <w:b/>
          <w:i w:val="false"/>
          <w:color w:val="000000"/>
        </w:rPr>
        <w:t>
содержание ребенка сироты (детей-сирот), и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
оставшегося без попечения родителей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24"/>
        <w:gridCol w:w="649"/>
        <w:gridCol w:w="688"/>
        <w:gridCol w:w="8572"/>
        <w:gridCol w:w="196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69953,0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кредиты для реализации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специалистов социальной сферы сельских населенных пунктов на</w:t>
      </w:r>
      <w:r>
        <w:br/>
      </w:r>
      <w:r>
        <w:rPr>
          <w:rFonts w:ascii="Times New Roman"/>
          <w:b/>
          <w:i w:val="false"/>
          <w:color w:val="000000"/>
        </w:rPr>
        <w:t>
2011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05"/>
        <w:gridCol w:w="649"/>
        <w:gridCol w:w="688"/>
        <w:gridCol w:w="8598"/>
        <w:gridCol w:w="19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Реализация мер социальной поддержки специалистов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 сельских населенных пунктов за счет целевого трансферта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86"/>
        <w:gridCol w:w="687"/>
        <w:gridCol w:w="707"/>
        <w:gridCol w:w="8393"/>
        <w:gridCol w:w="202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