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78fa" w14:textId="6f77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Бурабайскому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4 июля 2011 года № А-7/295. Зарегистрировано Управлением юстиции Бурабайского района Акмолинской области 28 июля 2011 года № 1-19-205. Утратило силу постановлением акимата Бурабайского района Акмолинской области от 26 августа 2011 года № А-9/380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Бурабайского района Акмолинской области от 26.08.2011 № А-9/380.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«Научно-производственный центр зернового хозяйства имени А.И.Бараева» от 15 апреля 2011 года № 329,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Бурабайскому району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данного постановления распространяется на правоотношения, возникшие с 20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Каменова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Бурабайского района                   В.Балахонцев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2011 года № А-7/295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</w:t>
      </w:r>
      <w:r>
        <w:br/>
      </w:r>
      <w:r>
        <w:rPr>
          <w:rFonts w:ascii="Times New Roman"/>
          <w:b/>
          <w:i w:val="false"/>
          <w:color w:val="000000"/>
        </w:rPr>
        <w:t>
список получателей субсидий и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сева по каждому 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по Бурабайскому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358"/>
        <w:gridCol w:w="2100"/>
        <w:gridCol w:w="2038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культур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26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среднеранняя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яровой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15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18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 масличный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и бобовые травы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 апреля по 30 апреля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семена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мая по 25 мая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