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4bc2e" w14:textId="414bc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категорий автостоянок (паркингов) и увеличении размеров базовых ставок налога на земли, выделенные под автостоянки (паркинги) в Целиноградском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13 декабря 2011 года № 298/46-4. Зарегистрировано Управлением юстиции Целиноградского района Акмолинской области 19 января 2012 года № 1-17-161. Утратило силу решением Целиноградского районного маслихата Акмолинской области от 26 июня 2017 года № 128/16-6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решением Целиноградского районного маслихата Акмолинской области от 26.06.2017 </w:t>
      </w:r>
      <w:r>
        <w:rPr>
          <w:rFonts w:ascii="Times New Roman"/>
          <w:b w:val="false"/>
          <w:i w:val="false"/>
          <w:color w:val="ff0000"/>
          <w:sz w:val="28"/>
        </w:rPr>
        <w:t>№ 128/16-6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381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386 Кодекса Республики Казахстан "О налогах и других обязательных платежах в бюджет (Налоговый кодекс)" от 10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15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года, Целиноградский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Установить категории автостоянок (паркингов) согласно приложению 1 и увеличить размеры базовых ставок налога на земли, выделенные под автостоянки (паркинги) в Целиноградском районе, согласно приложению 2.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Определить село Акмол близлежащим населенным пунктом Целиноградского района, базовые ставки на земли которого будут применяться при исчислении налога на земли других категорий, выделенных под автостоянки (паркинги).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2 с изменением, внесенным решением Целиноградского районного маслихата Акмолинской области от 05.11.2015 </w:t>
      </w:r>
      <w:r>
        <w:rPr>
          <w:rFonts w:ascii="Times New Roman"/>
          <w:b w:val="false"/>
          <w:i w:val="false"/>
          <w:color w:val="ff0000"/>
          <w:sz w:val="28"/>
        </w:rPr>
        <w:t>№ 331/47-5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Д.Камзебаев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Целиноградского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Б.Мажренов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Согласовано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Исполняющий обязанности начальника</w:t>
            </w:r>
            <w:r>
              <w:br/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"Налоговое Управление</w:t>
            </w:r>
            <w:r>
              <w:br/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по Целиноградскому району</w:t>
            </w:r>
            <w:r>
              <w:br/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Налогового Департамента</w:t>
            </w:r>
            <w:r>
              <w:br/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по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Акмолинской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 области</w:t>
            </w:r>
            <w:r>
              <w:br/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Налогового Комитета</w:t>
            </w:r>
            <w:r>
              <w:br/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Министерства финансов</w:t>
            </w:r>
            <w:r>
              <w:br/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С.Мырзабаев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2011 года № 298/46-4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Категории автостоянок (паркингов)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37"/>
        <w:gridCol w:w="5424"/>
        <w:gridCol w:w="3439"/>
      </w:tblGrid>
      <w:tr>
        <w:trPr>
          <w:trHeight w:val="30" w:hRule="atLeast"/>
        </w:trPr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Типы автостоянок (паркингов)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</w:t>
            </w:r>
          </w:p>
        </w:tc>
      </w:tr>
      <w:tr>
        <w:trPr>
          <w:trHeight w:val="30" w:hRule="atLeast"/>
        </w:trPr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 (паркинги) закрытого типа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категория</w:t>
            </w:r>
          </w:p>
        </w:tc>
      </w:tr>
      <w:tr>
        <w:trPr>
          <w:trHeight w:val="30" w:hRule="atLeast"/>
        </w:trPr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 (паркинги) открытого типа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категория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2011 года № 298/46-4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 базовых ставок налога на земли, выделенные под автостоянки (паркинги) в Целиноградском районе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70"/>
        <w:gridCol w:w="2680"/>
        <w:gridCol w:w="6108"/>
        <w:gridCol w:w="1542"/>
      </w:tblGrid>
      <w:tr>
        <w:trPr>
          <w:trHeight w:val="30" w:hRule="atLeast"/>
        </w:trPr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автостоянок (паркингов)</w:t>
            </w:r>
          </w:p>
        </w:tc>
        <w:tc>
          <w:tcPr>
            <w:tcW w:w="6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Размеры базовых ставок налога на земли, выделенные под автостоянки (паркинги)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базовых ставок</w:t>
            </w:r>
          </w:p>
        </w:tc>
      </w:tr>
      <w:tr>
        <w:trPr>
          <w:trHeight w:val="30" w:hRule="atLeast"/>
        </w:trPr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категория</w:t>
            </w:r>
          </w:p>
        </w:tc>
        <w:tc>
          <w:tcPr>
            <w:tcW w:w="6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десять раз</w:t>
            </w:r>
          </w:p>
        </w:tc>
      </w:tr>
      <w:tr>
        <w:trPr>
          <w:trHeight w:val="30" w:hRule="atLeast"/>
        </w:trPr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категория</w:t>
            </w:r>
          </w:p>
        </w:tc>
        <w:tc>
          <w:tcPr>
            <w:tcW w:w="6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десять раз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