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17be" w14:textId="03c1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декабря 2011 года № 297/46-4. Зарегистрировано Управлением юстиции Целиноградского района Акмолинской области 19 января 2012 года № 1-17-160. Утратило силу решением Целиноградского районного маслихата Акмолинской области от 26 июня 2017 года № 127/16-6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Целиноградского районного маслихата Акмолинской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127/16-6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 (Налоговый кодекс)" от 10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единые ставки фиксированного налога для всех налогоплательщиков, осуществляющих деятельность на территории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Целиноградского района" от 22 декабря 2009 года № 164/25-4 (зарегистрировано в реестре государственной регистрации нормативных правовых актов № 1-17-129, опубликовано 5 февраля 2010 года в районных газетах "Призыв" "Уран").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Целиноградскому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297/46-4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для 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Целиноградского района</w:t>
      </w:r>
      <w:r>
        <w:br/>
      </w:r>
      <w:r>
        <w:rPr>
          <w:rFonts w:ascii="Times New Roman"/>
          <w:b/>
          <w:i w:val="false"/>
          <w:color w:val="000000"/>
        </w:rPr>
        <w:t>(на единицу налогообложения в 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