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065f" w14:textId="0280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Ерейментауского районного маслихата от 12 февраля 2008 года № 4С-5/5-08 "Об утверждении Правил оказания гражданам жилищной помощи на содержание жилища, услуг связи и оплата коммунальных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Ерейментауского районного маслихата Акмолинской области от 27 сентября 2011 года № 4С-40/6-11. Зарегистрировано Управлением юстиции Ерейментауского района Акмолинской области 25 октября 2011 года № 1-9-179. Утратило силу - решением Ерейментауского районого маслихата Акмолинской области от 13 декабря 2011 года № 4С-42/9-11</w:t>
      </w:r>
    </w:p>
    <w:p>
      <w:pPr>
        <w:spacing w:after="0"/>
        <w:ind w:left="0"/>
        <w:jc w:val="both"/>
      </w:pPr>
      <w:bookmarkStart w:name="z1" w:id="0"/>
      <w:r>
        <w:rPr>
          <w:rFonts w:ascii="Times New Roman"/>
          <w:b w:val="false"/>
          <w:i w:val="false"/>
          <w:color w:val="ff0000"/>
          <w:sz w:val="28"/>
        </w:rPr>
        <w:t xml:space="preserve">
      Сноска. Утратило силу - решением Ерейментауского районого маслихата Акмолинской области от 13.12.2011 </w:t>
      </w:r>
      <w:r>
        <w:rPr>
          <w:rFonts w:ascii="Times New Roman"/>
          <w:b w:val="false"/>
          <w:i w:val="false"/>
          <w:color w:val="ff0000"/>
          <w:sz w:val="28"/>
        </w:rPr>
        <w:t>№ 4С-42/9-11</w:t>
      </w:r>
      <w:r>
        <w:rPr>
          <w:rFonts w:ascii="Times New Roman"/>
          <w:b w:val="false"/>
          <w:i w:val="false"/>
          <w:color w:val="ff0000"/>
          <w:sz w:val="28"/>
        </w:rPr>
        <w:t> (вводится в действие со дня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Ерейментауский районный маслихат 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Ерейментауского районного маслихата «Об утверждении Правил оказания гражданам жилищной помощи на содержание жилища, услуг связи и оплату коммунальных услуг» от 12 февраля 2008 года № 4С-5/5-08 (зарегистрировано в Реестре государственной регистрации нормативных правовых актов № 1-9-96, опубликовано 15 марта 2008 года в районной газете «Ереймен», 15 марта 2008 года в районной газете «Ерейментау) следующие изменений:</w:t>
      </w:r>
      <w:r>
        <w:br/>
      </w:r>
      <w:r>
        <w:rPr>
          <w:rFonts w:ascii="Times New Roman"/>
          <w:b w:val="false"/>
          <w:i w:val="false"/>
          <w:color w:val="000000"/>
          <w:sz w:val="28"/>
        </w:rPr>
        <w:t>
      в Правилах оказания гражданам жилищной помощи на содержание жилища, услуг связи и оплату коммунальных услуг, утвержденных указанным решением:</w:t>
      </w:r>
      <w:r>
        <w:br/>
      </w:r>
      <w:r>
        <w:rPr>
          <w:rFonts w:ascii="Times New Roman"/>
          <w:b w:val="false"/>
          <w:i w:val="false"/>
          <w:color w:val="000000"/>
          <w:sz w:val="28"/>
        </w:rPr>
        <w:t>
      пункт 2 изложить в новой редакции:</w:t>
      </w:r>
      <w:r>
        <w:br/>
      </w:r>
      <w:r>
        <w:rPr>
          <w:rFonts w:ascii="Times New Roman"/>
          <w:b w:val="false"/>
          <w:i w:val="false"/>
          <w:color w:val="000000"/>
          <w:sz w:val="28"/>
        </w:rPr>
        <w:t>
      «2. Жилищная помощь предоставляется гражданам Республики Казахстан постоянно проживающим в городе и поселках, являющимся собственниками или нанимателями жилья в том случае, если расходы на оплату содержания жилья и потребления коммунальных услуг в бюджете семьи превышают долю предельно допустимых расходов на эти цели.</w:t>
      </w:r>
      <w:r>
        <w:br/>
      </w:r>
      <w:r>
        <w:rPr>
          <w:rFonts w:ascii="Times New Roman"/>
          <w:b w:val="false"/>
          <w:i w:val="false"/>
          <w:color w:val="000000"/>
          <w:sz w:val="28"/>
        </w:rPr>
        <w:t>
      Доля предельно допустимых расходов на оплату содержания жилья и потребления коммунальных услуг устанавливается к совокупному доходу семьи за квартал, предшествовавший кварталу обращения за назначением жилищной помощи, в размере 15 %.</w:t>
      </w:r>
      <w:r>
        <w:br/>
      </w:r>
      <w:r>
        <w:rPr>
          <w:rFonts w:ascii="Times New Roman"/>
          <w:b w:val="false"/>
          <w:i w:val="false"/>
          <w:color w:val="000000"/>
          <w:sz w:val="28"/>
        </w:rPr>
        <w:t>
      Оплата на содержание жилища и потребления коммунальных услуг сверх установленной нормы площади производится на общих основаниях.»</w:t>
      </w:r>
      <w:r>
        <w:br/>
      </w:r>
      <w:r>
        <w:rPr>
          <w:rFonts w:ascii="Times New Roman"/>
          <w:b w:val="false"/>
          <w:i w:val="false"/>
          <w:color w:val="000000"/>
          <w:sz w:val="28"/>
        </w:rPr>
        <w:t>
      пункт 3 изложить в новой редакции:</w:t>
      </w:r>
      <w:r>
        <w:br/>
      </w:r>
      <w:r>
        <w:rPr>
          <w:rFonts w:ascii="Times New Roman"/>
          <w:b w:val="false"/>
          <w:i w:val="false"/>
          <w:color w:val="000000"/>
          <w:sz w:val="28"/>
        </w:rPr>
        <w:t>
      «3. За норму площади жилья, обеспечиваемую компенсационными мерами принимается 18 квадратных метров на одного человека. Для одинокопроживающих граждан за норму площади жилья, обеспечиваемую компенсационными мерами принимается 30 квадратных метров, но не менее площади однокомнатной квартиры.</w:t>
      </w:r>
      <w:r>
        <w:br/>
      </w:r>
      <w:r>
        <w:rPr>
          <w:rFonts w:ascii="Times New Roman"/>
          <w:b w:val="false"/>
          <w:i w:val="false"/>
          <w:color w:val="000000"/>
          <w:sz w:val="28"/>
        </w:rPr>
        <w:t>
      Нормативы потребления коммунальных услуг (водоснабжение, газ, канализация, тепловая энергия, мусор) устанавливаются исходя из фактического потребления, но не более предельных величин согласно нормативным документам. Норма потребления электроэнергии устанавливается исходя из фактического потребления, но не более 150 (сто пятьдесят) киловатт на семью в составе от одного до трех человек, не более 200 (двести) киловатт на семью из четырех и более человек. При наличии соответствующего документа о том, что жилище не газифицировано, и для приготовления пищи используется электробытовые плиты, оплата за электроэнергию сверх установленных нормативов может быть зачтена по заявлению получателей жилищной помощи в счет оплаты за газоснабжение, но в пределах норм потребления тарифов, установленных по газоснабжению.»</w:t>
      </w:r>
      <w:r>
        <w:br/>
      </w:r>
      <w:r>
        <w:rPr>
          <w:rFonts w:ascii="Times New Roman"/>
          <w:b w:val="false"/>
          <w:i w:val="false"/>
          <w:color w:val="000000"/>
          <w:sz w:val="28"/>
        </w:rPr>
        <w:t>
      пункт 4 изложить в новой редакции:</w:t>
      </w:r>
      <w:r>
        <w:br/>
      </w:r>
      <w:r>
        <w:rPr>
          <w:rFonts w:ascii="Times New Roman"/>
          <w:b w:val="false"/>
          <w:i w:val="false"/>
          <w:color w:val="000000"/>
          <w:sz w:val="28"/>
        </w:rPr>
        <w:t>
      «4. Жилищная помощь не назначается лицам, имеющим в частной собственности более одной единицы жилья или сдающим внаем, а также семьям, если в них имеются трудоспособные лица, которые не работают, не учатся, не служат в армии и не зарегистрированы в службе занятости, за исключением лиц:</w:t>
      </w:r>
      <w:r>
        <w:br/>
      </w:r>
      <w:r>
        <w:rPr>
          <w:rFonts w:ascii="Times New Roman"/>
          <w:b w:val="false"/>
          <w:i w:val="false"/>
          <w:color w:val="000000"/>
          <w:sz w:val="28"/>
        </w:rPr>
        <w:t>
      -осуществляющих уход за инвалидами, признанными нуждающимися в уходе;</w:t>
      </w:r>
      <w:r>
        <w:br/>
      </w:r>
      <w:r>
        <w:rPr>
          <w:rFonts w:ascii="Times New Roman"/>
          <w:b w:val="false"/>
          <w:i w:val="false"/>
          <w:color w:val="000000"/>
          <w:sz w:val="28"/>
        </w:rPr>
        <w:t>
      -занятых воспитанием ребенка в возрасте до 3-х лет;</w:t>
      </w:r>
      <w:r>
        <w:br/>
      </w:r>
      <w:r>
        <w:rPr>
          <w:rFonts w:ascii="Times New Roman"/>
          <w:b w:val="false"/>
          <w:i w:val="false"/>
          <w:color w:val="000000"/>
          <w:sz w:val="28"/>
        </w:rPr>
        <w:t>
      -инвалидов 1,2,3 групп.»</w:t>
      </w:r>
      <w:r>
        <w:br/>
      </w:r>
      <w:r>
        <w:rPr>
          <w:rFonts w:ascii="Times New Roman"/>
          <w:b w:val="false"/>
          <w:i w:val="false"/>
          <w:color w:val="000000"/>
          <w:sz w:val="28"/>
        </w:rPr>
        <w:t>
      пункт 6 изложить в новой редакции:</w:t>
      </w:r>
      <w:r>
        <w:br/>
      </w:r>
      <w:r>
        <w:rPr>
          <w:rFonts w:ascii="Times New Roman"/>
          <w:b w:val="false"/>
          <w:i w:val="false"/>
          <w:color w:val="000000"/>
          <w:sz w:val="28"/>
        </w:rPr>
        <w:t>
      «6. Жилищная помощь назначается уполномоченным органом с месяца подачи заявления до конца текущего квартала. Заявление на предоставление жилищной помощи может быть принято только от одного из членов семьи. Для определения величины жилищной помощи исчисляется среднемесячный доход семьи за квартал, предшествующий кварталу обращения.</w:t>
      </w:r>
      <w:r>
        <w:br/>
      </w:r>
      <w:r>
        <w:rPr>
          <w:rFonts w:ascii="Times New Roman"/>
          <w:b w:val="false"/>
          <w:i w:val="false"/>
          <w:color w:val="000000"/>
          <w:sz w:val="28"/>
        </w:rPr>
        <w:t>
      Жилищная помощь назначается на основании заявления собственника (нанимателя) жилья и прилагаемых к нему документов:</w:t>
      </w:r>
      <w:r>
        <w:br/>
      </w:r>
      <w:r>
        <w:rPr>
          <w:rFonts w:ascii="Times New Roman"/>
          <w:b w:val="false"/>
          <w:i w:val="false"/>
          <w:color w:val="000000"/>
          <w:sz w:val="28"/>
        </w:rPr>
        <w:t>
      1) копия удостоверения личности заявителя;</w:t>
      </w:r>
      <w:r>
        <w:br/>
      </w:r>
      <w:r>
        <w:rPr>
          <w:rFonts w:ascii="Times New Roman"/>
          <w:b w:val="false"/>
          <w:i w:val="false"/>
          <w:color w:val="000000"/>
          <w:sz w:val="28"/>
        </w:rPr>
        <w:t>
      2) копии регистрационного номера налогоплательщика (РНН) заявителя;</w:t>
      </w:r>
      <w:r>
        <w:br/>
      </w:r>
      <w:r>
        <w:rPr>
          <w:rFonts w:ascii="Times New Roman"/>
          <w:b w:val="false"/>
          <w:i w:val="false"/>
          <w:color w:val="000000"/>
          <w:sz w:val="28"/>
        </w:rPr>
        <w:t>
      3) копия социального индивидуального кода (СИК) заявителя;</w:t>
      </w:r>
      <w:r>
        <w:br/>
      </w:r>
      <w:r>
        <w:rPr>
          <w:rFonts w:ascii="Times New Roman"/>
          <w:b w:val="false"/>
          <w:i w:val="false"/>
          <w:color w:val="000000"/>
          <w:sz w:val="28"/>
        </w:rPr>
        <w:t>
      4) копия книги регистрации граждан;</w:t>
      </w:r>
      <w:r>
        <w:br/>
      </w:r>
      <w:r>
        <w:rPr>
          <w:rFonts w:ascii="Times New Roman"/>
          <w:b w:val="false"/>
          <w:i w:val="false"/>
          <w:color w:val="000000"/>
          <w:sz w:val="28"/>
        </w:rPr>
        <w:t>
      5) копия правоустанавливающего документа на жилище (ордер, договор приватизации, мены, купли-продажи, дарения и найма и т.д.);»</w:t>
      </w:r>
      <w:r>
        <w:br/>
      </w:r>
      <w:r>
        <w:rPr>
          <w:rFonts w:ascii="Times New Roman"/>
          <w:b w:val="false"/>
          <w:i w:val="false"/>
          <w:color w:val="000000"/>
          <w:sz w:val="28"/>
        </w:rPr>
        <w:t>
      6) документы, подтверждающие доходы семьи;</w:t>
      </w:r>
      <w:r>
        <w:br/>
      </w:r>
      <w:r>
        <w:rPr>
          <w:rFonts w:ascii="Times New Roman"/>
          <w:b w:val="false"/>
          <w:i w:val="false"/>
          <w:color w:val="000000"/>
          <w:sz w:val="28"/>
        </w:rPr>
        <w:t>
      7) справка формы № 2 с Управления юстиции о зарегистрированном недвижимом имуществе;</w:t>
      </w:r>
      <w:r>
        <w:br/>
      </w:r>
      <w:r>
        <w:rPr>
          <w:rFonts w:ascii="Times New Roman"/>
          <w:b w:val="false"/>
          <w:i w:val="false"/>
          <w:color w:val="000000"/>
          <w:sz w:val="28"/>
        </w:rPr>
        <w:t>
      8) счета на потребление коммунальных услуг за квартал, предшествующий кварталу обращения за назначением жилищной помощи;</w:t>
      </w:r>
      <w:r>
        <w:br/>
      </w:r>
      <w:r>
        <w:rPr>
          <w:rFonts w:ascii="Times New Roman"/>
          <w:b w:val="false"/>
          <w:i w:val="false"/>
          <w:color w:val="000000"/>
          <w:sz w:val="28"/>
        </w:rPr>
        <w:t>
      9) квитанцию- счет за услуги телекоммуникаций или копия договора на оказание услуг связи;</w:t>
      </w:r>
      <w:r>
        <w:br/>
      </w:r>
      <w:r>
        <w:rPr>
          <w:rFonts w:ascii="Times New Roman"/>
          <w:b w:val="false"/>
          <w:i w:val="false"/>
          <w:color w:val="000000"/>
          <w:sz w:val="28"/>
        </w:rPr>
        <w:t>
      10) справка формы № 4 с Управления юстиции (для одиноких матерей).</w:t>
      </w:r>
      <w:r>
        <w:br/>
      </w:r>
      <w:r>
        <w:rPr>
          <w:rFonts w:ascii="Times New Roman"/>
          <w:b w:val="false"/>
          <w:i w:val="false"/>
          <w:color w:val="000000"/>
          <w:sz w:val="28"/>
        </w:rPr>
        <w:t>
      пункт 8 изложить в новой редакции:</w:t>
      </w:r>
      <w:r>
        <w:br/>
      </w:r>
      <w:r>
        <w:rPr>
          <w:rFonts w:ascii="Times New Roman"/>
          <w:b w:val="false"/>
          <w:i w:val="false"/>
          <w:color w:val="000000"/>
          <w:sz w:val="28"/>
        </w:rPr>
        <w:t>
      «8. Получатели жилищной помощи в десятидневный срок информируют уполномоченный орган о любых изменениях в составе семьи и ее совокупном доходе.</w:t>
      </w:r>
      <w:r>
        <w:br/>
      </w:r>
      <w:r>
        <w:rPr>
          <w:rFonts w:ascii="Times New Roman"/>
          <w:b w:val="false"/>
          <w:i w:val="false"/>
          <w:color w:val="000000"/>
          <w:sz w:val="28"/>
        </w:rPr>
        <w:t>
      Излишне выплаченные суммы, вследствие предоставления недостоверных сведений, подлежат возврату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w:t>
      </w:r>
      <w:r>
        <w:br/>
      </w:r>
      <w:r>
        <w:rPr>
          <w:rFonts w:ascii="Times New Roman"/>
          <w:b w:val="false"/>
          <w:i w:val="false"/>
          <w:color w:val="000000"/>
          <w:sz w:val="28"/>
        </w:rPr>
        <w:t>
</w:t>
      </w:r>
      <w:r>
        <w:rPr>
          <w:rFonts w:ascii="Times New Roman"/>
          <w:b w:val="false"/>
          <w:i/>
          <w:color w:val="000000"/>
          <w:sz w:val="28"/>
        </w:rPr>
        <w:t>      Ерейментауского районного</w:t>
      </w:r>
      <w:r>
        <w:br/>
      </w:r>
      <w:r>
        <w:rPr>
          <w:rFonts w:ascii="Times New Roman"/>
          <w:b w:val="false"/>
          <w:i w:val="false"/>
          <w:color w:val="000000"/>
          <w:sz w:val="28"/>
        </w:rPr>
        <w:t>
</w:t>
      </w:r>
      <w:r>
        <w:rPr>
          <w:rFonts w:ascii="Times New Roman"/>
          <w:b w:val="false"/>
          <w:i/>
          <w:color w:val="000000"/>
          <w:sz w:val="28"/>
        </w:rPr>
        <w:t>      маслихата                                  С. Мухантаева</w:t>
      </w:r>
    </w:p>
    <w:p>
      <w:pPr>
        <w:spacing w:after="0"/>
        <w:ind w:left="0"/>
        <w:jc w:val="both"/>
      </w:pPr>
      <w:r>
        <w:rPr>
          <w:rFonts w:ascii="Times New Roman"/>
          <w:b w:val="false"/>
          <w:i/>
          <w:color w:val="000000"/>
          <w:sz w:val="28"/>
        </w:rPr>
        <w:t>      Секретарь Ерейментауского</w:t>
      </w:r>
      <w:r>
        <w:br/>
      </w:r>
      <w:r>
        <w:rPr>
          <w:rFonts w:ascii="Times New Roman"/>
          <w:b w:val="false"/>
          <w:i w:val="false"/>
          <w:color w:val="000000"/>
          <w:sz w:val="28"/>
        </w:rPr>
        <w:t>
</w:t>
      </w:r>
      <w:r>
        <w:rPr>
          <w:rFonts w:ascii="Times New Roman"/>
          <w:b w:val="false"/>
          <w:i/>
          <w:color w:val="000000"/>
          <w:sz w:val="28"/>
        </w:rPr>
        <w:t>      районного маслихата                        К. Махметов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Аким Ерейментауского района                Л.Ж. Дюсенов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Ерейментауского района»                    М.Л. Сердцева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