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beb4" w14:textId="39bb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2011 года № 202. Зарегистрировано в Министерстве юстиции Республики Казахстан 18 февраля 2012 года № 7428. Утратило силу постановлением Правления Национального Банка Республики Казахстан от 30 мая 2016 года № 126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порядка выбора внешних управляющих активами Национального фонда Республики Казахстан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(зарегистрированное в Реестре государственной регистрации нормативных правовых актов под № 4360)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выбора внешних управляющих активами Национального фонда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В настоящих Правилах используются следующие понятия:</w:t>
      </w:r>
      <w:r>
        <w:br/>
      </w:r>
      <w:r>
        <w:rPr>
          <w:rFonts w:ascii="Times New Roman"/>
          <w:b w:val="false"/>
          <w:i w:val="false"/>
          <w:color w:val="000000"/>
          <w:sz w:val="28"/>
        </w:rPr>
        <w:t>
      1) региональный мандат – портфель, инвестиции которого сосредоточены в рамках одной страны (рынка, региона);</w:t>
      </w:r>
      <w:r>
        <w:br/>
      </w:r>
      <w:r>
        <w:rPr>
          <w:rFonts w:ascii="Times New Roman"/>
          <w:b w:val="false"/>
          <w:i w:val="false"/>
          <w:color w:val="000000"/>
          <w:sz w:val="28"/>
        </w:rPr>
        <w:t>
      2) активное управление активами - это вид управления, при котором значение изменчивости отклонения доходности (tracking error) может превышать 0.5 процента;</w:t>
      </w:r>
      <w:r>
        <w:br/>
      </w:r>
      <w:r>
        <w:rPr>
          <w:rFonts w:ascii="Times New Roman"/>
          <w:b w:val="false"/>
          <w:i w:val="false"/>
          <w:color w:val="000000"/>
          <w:sz w:val="28"/>
        </w:rPr>
        <w:t>
      3) пассивное управление активами - это вид управления, при котором значение изменчивости отклонения доходности (tracking error) не превышает 0.5 процента. При пассивном управлении доходность портфеля во внешнем управлении приблизительно равна доходности эталонного портфеля.</w:t>
      </w:r>
      <w:r>
        <w:br/>
      </w:r>
      <w:r>
        <w:rPr>
          <w:rFonts w:ascii="Times New Roman"/>
          <w:b w:val="false"/>
          <w:i w:val="false"/>
          <w:color w:val="000000"/>
          <w:sz w:val="28"/>
        </w:rPr>
        <w:t>
      4) внешнее транзитное управление активами – это вид управления, при котором активы, предназначенные для перевода от одного внешнего управляющего другому, передаются на срок до 6 (шести) месяцев внешнему транзитному управляющему с целью минимизации рисков сопутствующих трансформации передаваемых активов;</w:t>
      </w:r>
      <w:r>
        <w:br/>
      </w:r>
      <w:r>
        <w:rPr>
          <w:rFonts w:ascii="Times New Roman"/>
          <w:b w:val="false"/>
          <w:i w:val="false"/>
          <w:color w:val="000000"/>
          <w:sz w:val="28"/>
        </w:rPr>
        <w:t>
      5) информационный коэффициент (information ratio) - отношение исторической сверхдоходности к историческому уровню риска (изменчивости отклонения доходности);</w:t>
      </w:r>
      <w:r>
        <w:br/>
      </w:r>
      <w:r>
        <w:rPr>
          <w:rFonts w:ascii="Times New Roman"/>
          <w:b w:val="false"/>
          <w:i w:val="false"/>
          <w:color w:val="000000"/>
          <w:sz w:val="28"/>
        </w:rPr>
        <w:t>
      6) глобальный мандат – портфель, инвестиции которого выходят за рамки одной страны (рынка, региона);</w:t>
      </w:r>
      <w:r>
        <w:br/>
      </w:r>
      <w:r>
        <w:rPr>
          <w:rFonts w:ascii="Times New Roman"/>
          <w:b w:val="false"/>
          <w:i w:val="false"/>
          <w:color w:val="000000"/>
          <w:sz w:val="28"/>
        </w:rPr>
        <w:t>
      7) головная организация – компания, владеющая контрольным пакетом акций дочерних организаций;</w:t>
      </w:r>
      <w:r>
        <w:br/>
      </w:r>
      <w:r>
        <w:rPr>
          <w:rFonts w:ascii="Times New Roman"/>
          <w:b w:val="false"/>
          <w:i w:val="false"/>
          <w:color w:val="000000"/>
          <w:sz w:val="28"/>
        </w:rPr>
        <w:t>
      8) уровень сверхдоходности - разница между фактически достигнутым уровнем доходности и уровнем доходности эталонного портфеля;</w:t>
      </w:r>
      <w:r>
        <w:br/>
      </w:r>
      <w:r>
        <w:rPr>
          <w:rFonts w:ascii="Times New Roman"/>
          <w:b w:val="false"/>
          <w:i w:val="false"/>
          <w:color w:val="000000"/>
          <w:sz w:val="28"/>
        </w:rPr>
        <w:t>
      9) полномочный представитель – специальное должностное лицо (на уровне не ниже заместителя Председателя Национального Банка Республики Казахстан), определяемое решением Правления Национального Банка Республики Казахстан (далее - Национальный Банк), в полномочия которого входит оперативное принятие решений по доверительному управлению Фондом от имени Национального Банка;</w:t>
      </w:r>
      <w:r>
        <w:br/>
      </w:r>
      <w:r>
        <w:rPr>
          <w:rFonts w:ascii="Times New Roman"/>
          <w:b w:val="false"/>
          <w:i w:val="false"/>
          <w:color w:val="000000"/>
          <w:sz w:val="28"/>
        </w:rPr>
        <w:t>
      10) специализированный мандат – мандат, передаваемый с целью диверсификации стилей управления и отрицательной корреляции между внешними управляющими;</w:t>
      </w:r>
      <w:r>
        <w:br/>
      </w:r>
      <w:r>
        <w:rPr>
          <w:rFonts w:ascii="Times New Roman"/>
          <w:b w:val="false"/>
          <w:i w:val="false"/>
          <w:color w:val="000000"/>
          <w:sz w:val="28"/>
        </w:rPr>
        <w:t>
      11) мандат – портфель, имеющий определенные инвестиционные характеристики;</w:t>
      </w:r>
      <w:r>
        <w:br/>
      </w:r>
      <w:r>
        <w:rPr>
          <w:rFonts w:ascii="Times New Roman"/>
          <w:b w:val="false"/>
          <w:i w:val="false"/>
          <w:color w:val="000000"/>
          <w:sz w:val="28"/>
        </w:rPr>
        <w:t>
      12) маржевой счет – это счет для проведения операций с производными финансовыми инструментами, открытый в клиринговой организации, являющейся организацией, аффилиированной с биржами, обеспечивающей действительность, поставку и проведение расчетов по операциям с производными инструментами;</w:t>
      </w:r>
      <w:r>
        <w:br/>
      </w:r>
      <w:r>
        <w:rPr>
          <w:rFonts w:ascii="Times New Roman"/>
          <w:b w:val="false"/>
          <w:i w:val="false"/>
          <w:color w:val="000000"/>
          <w:sz w:val="28"/>
        </w:rPr>
        <w:t>
      13) внешний управляющий - инвестиционная компания и/или инвестиционный банк, специализирующийся на доверительном управлении активами клиентов и осуществляющий свою деятельность на международных финансовых рынках;</w:t>
      </w:r>
      <w:r>
        <w:br/>
      </w:r>
      <w:r>
        <w:rPr>
          <w:rFonts w:ascii="Times New Roman"/>
          <w:b w:val="false"/>
          <w:i w:val="false"/>
          <w:color w:val="000000"/>
          <w:sz w:val="28"/>
        </w:rPr>
        <w:t>
      14) внешний транзитный управляющий – инвестиционная компания и/или инвестиционный банк, специализирующийся на транзитном управлении активов клиентов и осуществляющий свою деятельность на международных финансовых рынках;</w:t>
      </w:r>
      <w:r>
        <w:br/>
      </w:r>
      <w:r>
        <w:rPr>
          <w:rFonts w:ascii="Times New Roman"/>
          <w:b w:val="false"/>
          <w:i w:val="false"/>
          <w:color w:val="000000"/>
          <w:sz w:val="28"/>
        </w:rPr>
        <w:t>
      15) уполномоченное подразделение – Департамент монетарных операций Национального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"19-1. Обязательные критерии для мандатов, в которых объем передаваемых активов одному внешнему управляющему превышает эквивалент 300 (трехсот) миллионов долларов США:</w:t>
      </w:r>
      <w:r>
        <w:br/>
      </w:r>
      <w:r>
        <w:rPr>
          <w:rFonts w:ascii="Times New Roman"/>
          <w:b w:val="false"/>
          <w:i w:val="false"/>
          <w:color w:val="000000"/>
          <w:sz w:val="28"/>
        </w:rPr>
        <w:t>
      1) не менее 10 лет опыта работы с финансовыми инструментами, в которые предполагается инвестировать активы Фонда.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10 лет опыта работы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2) размер активов под управлением: внешний управляющий должен иметь под управлением совокупные активы клиентов не менее эквивалента 25 (двадцати пяти) миллиардов долларов США;</w:t>
      </w:r>
      <w:r>
        <w:br/>
      </w:r>
      <w:r>
        <w:rPr>
          <w:rFonts w:ascii="Times New Roman"/>
          <w:b w:val="false"/>
          <w:i w:val="false"/>
          <w:color w:val="000000"/>
          <w:sz w:val="28"/>
        </w:rPr>
        <w:t>
      3) размер активов по рассматриваемому типу мандата под управлением: внешний управляющий должен иметь по рассматриваемому типу мандата совокупные активы клиентов не менее эквивалента 1 (одного) миллиарда долларов США.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эквивалента 1 (одного) миллиарда долларов США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19-2. Обязательные критерии для специализированных мандатов, в которых объем передаваемых активов одному внешнему управляющему не превышает эквивалент 300 (трехсот) миллионов долларов США:</w:t>
      </w:r>
      <w:r>
        <w:br/>
      </w:r>
      <w:r>
        <w:rPr>
          <w:rFonts w:ascii="Times New Roman"/>
          <w:b w:val="false"/>
          <w:i w:val="false"/>
          <w:color w:val="000000"/>
          <w:sz w:val="28"/>
        </w:rPr>
        <w:t>
      1) не менее 5 лет опыта работы с финансовыми инструментами, в которые предполагается инвестировать активы Фонда.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5 лет опыта работы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2) размер активов под управлением: внешний управляющий должен иметь под управлением совокупные активы клиентов не менее эквивалента 3 (трех) миллиардов долларов США, за исключением внешних управляющих по мандатам альтернативных инструментов, для которых размер совокупных активов клиентов под управлением должен быть не менее 1 (одного) миллиарда долларов США;</w:t>
      </w:r>
      <w:r>
        <w:br/>
      </w:r>
      <w:r>
        <w:rPr>
          <w:rFonts w:ascii="Times New Roman"/>
          <w:b w:val="false"/>
          <w:i w:val="false"/>
          <w:color w:val="000000"/>
          <w:sz w:val="28"/>
        </w:rPr>
        <w:t>
      3) размер активов по рассматриваемому типу мандата под управлением: внешний управляющий должен иметь по рассматриваемому типу мандата совокупные активы клиентов не менее эквивалента 500 (пятьсот) миллионов долларов США.</w:t>
      </w:r>
      <w:r>
        <w:br/>
      </w:r>
      <w:r>
        <w:rPr>
          <w:rFonts w:ascii="Times New Roman"/>
          <w:b w:val="false"/>
          <w:i w:val="false"/>
          <w:color w:val="000000"/>
          <w:sz w:val="28"/>
        </w:rPr>
        <w:t>
      Если объявлен тендер по выбору внешнего управляющего по глобальному мандату, а участник тендера имеет под управлением исключительно аналогичные региональные мандаты, то не менее эквивалента 500 (пятисот) миллионов долларов США по региональным мандатам, которые составляют не менее 75 (семидесяти пяти) процентов охвата глобального мандата.";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Б. Жамишев</w:t>
      </w:r>
      <w:r>
        <w:br/>
      </w:r>
      <w:r>
        <w:rPr>
          <w:rFonts w:ascii="Times New Roman"/>
          <w:b w:val="false"/>
          <w:i w:val="false"/>
          <w:color w:val="000000"/>
          <w:sz w:val="28"/>
        </w:rPr>
        <w:t>
</w:t>
      </w:r>
      <w:r>
        <w:rPr>
          <w:rFonts w:ascii="Times New Roman"/>
          <w:b w:val="false"/>
          <w:i/>
          <w:color w:val="000000"/>
          <w:sz w:val="28"/>
        </w:rPr>
        <w:t>      19 января 2012 год</w:t>
      </w:r>
    </w:p>
    <w:bookmarkStart w:name="z9"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декабря 2011 года № 202</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выбора         </w:t>
      </w:r>
      <w:r>
        <w:br/>
      </w:r>
      <w:r>
        <w:rPr>
          <w:rFonts w:ascii="Times New Roman"/>
          <w:b w:val="false"/>
          <w:i w:val="false"/>
          <w:color w:val="000000"/>
          <w:sz w:val="28"/>
        </w:rPr>
        <w:t xml:space="preserve">
внешних управляющих активами  </w:t>
      </w:r>
      <w:r>
        <w:br/>
      </w:r>
      <w:r>
        <w:rPr>
          <w:rFonts w:ascii="Times New Roman"/>
          <w:b w:val="false"/>
          <w:i w:val="false"/>
          <w:color w:val="000000"/>
          <w:sz w:val="28"/>
        </w:rPr>
        <w:t xml:space="preserve">
Национального фонда       </w:t>
      </w:r>
      <w:r>
        <w:br/>
      </w:r>
      <w:r>
        <w:rPr>
          <w:rFonts w:ascii="Times New Roman"/>
          <w:b w:val="false"/>
          <w:i w:val="false"/>
          <w:color w:val="000000"/>
          <w:sz w:val="28"/>
        </w:rPr>
        <w:t xml:space="preserve">
Республики Казахстан      </w:t>
      </w:r>
    </w:p>
    <w:bookmarkStart w:name="z10" w:id="3"/>
    <w:p>
      <w:pPr>
        <w:spacing w:after="0"/>
        <w:ind w:left="0"/>
        <w:jc w:val="left"/>
      </w:pPr>
      <w:r>
        <w:rPr>
          <w:rFonts w:ascii="Times New Roman"/>
          <w:b/>
          <w:i w:val="false"/>
          <w:color w:val="000000"/>
        </w:rPr>
        <w:t xml:space="preserve"> 
Оценочные критерии для сравнительного анализа</w:t>
      </w:r>
      <w:r>
        <w:br/>
      </w:r>
      <w:r>
        <w:rPr>
          <w:rFonts w:ascii="Times New Roman"/>
          <w:b/>
          <w:i w:val="false"/>
          <w:color w:val="000000"/>
        </w:rPr>
        <w:t>
предложений внешних управляющих</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8439"/>
        <w:gridCol w:w="4079"/>
      </w:tblGrid>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Значимость критерия</w:t>
            </w:r>
            <w:r>
              <w:br/>
            </w:r>
            <w:r>
              <w:rPr>
                <w:rFonts w:ascii="Times New Roman"/>
                <w:b w:val="false"/>
                <w:i w:val="false"/>
                <w:color w:val="000000"/>
                <w:sz w:val="20"/>
              </w:rPr>
              <w:t>
(в процентах)</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Исторические результаты управления портфелем</w:t>
            </w:r>
            <w:r>
              <w:br/>
            </w:r>
            <w:r>
              <w:rPr>
                <w:rFonts w:ascii="Times New Roman"/>
                <w:b w:val="false"/>
                <w:i w:val="false"/>
                <w:color w:val="000000"/>
                <w:sz w:val="20"/>
              </w:rPr>
              <w:t>
(при проведении сравнительного анализа</w:t>
            </w:r>
            <w:r>
              <w:br/>
            </w:r>
            <w:r>
              <w:rPr>
                <w:rFonts w:ascii="Times New Roman"/>
                <w:b w:val="false"/>
                <w:i w:val="false"/>
                <w:color w:val="000000"/>
                <w:sz w:val="20"/>
              </w:rPr>
              <w:t>
предложений потенциальных внешних</w:t>
            </w:r>
            <w:r>
              <w:br/>
            </w:r>
            <w:r>
              <w:rPr>
                <w:rFonts w:ascii="Times New Roman"/>
                <w:b w:val="false"/>
                <w:i w:val="false"/>
                <w:color w:val="000000"/>
                <w:sz w:val="20"/>
              </w:rPr>
              <w:t>
управляющих, специализирующихся на</w:t>
            </w:r>
            <w:r>
              <w:br/>
            </w:r>
            <w:r>
              <w:rPr>
                <w:rFonts w:ascii="Times New Roman"/>
                <w:b w:val="false"/>
                <w:i w:val="false"/>
                <w:color w:val="000000"/>
                <w:sz w:val="20"/>
              </w:rPr>
              <w:t>
региональных мандатах и участвующих в выборе</w:t>
            </w:r>
            <w:r>
              <w:br/>
            </w:r>
            <w:r>
              <w:rPr>
                <w:rFonts w:ascii="Times New Roman"/>
                <w:b w:val="false"/>
                <w:i w:val="false"/>
                <w:color w:val="000000"/>
                <w:sz w:val="20"/>
              </w:rPr>
              <w:t>
управляющего по глобальному мандату,</w:t>
            </w:r>
            <w:r>
              <w:br/>
            </w:r>
            <w:r>
              <w:rPr>
                <w:rFonts w:ascii="Times New Roman"/>
                <w:b w:val="false"/>
                <w:i w:val="false"/>
                <w:color w:val="000000"/>
                <w:sz w:val="20"/>
              </w:rPr>
              <w:t>
показатели нормируются в зависимости от</w:t>
            </w:r>
            <w:r>
              <w:br/>
            </w:r>
            <w:r>
              <w:rPr>
                <w:rFonts w:ascii="Times New Roman"/>
                <w:b w:val="false"/>
                <w:i w:val="false"/>
                <w:color w:val="000000"/>
                <w:sz w:val="20"/>
              </w:rPr>
              <w:t>
охвата соответствующего мандата)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1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сверхдоходности за последние</w:t>
            </w:r>
            <w:r>
              <w:br/>
            </w:r>
            <w:r>
              <w:rPr>
                <w:rFonts w:ascii="Times New Roman"/>
                <w:b w:val="false"/>
                <w:i w:val="false"/>
                <w:color w:val="000000"/>
                <w:sz w:val="20"/>
              </w:rPr>
              <w:t>
5 лет по данному типу мандата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10" w:hRule="atLeast"/>
        </w:trPr>
        <w:tc>
          <w:tcPr>
            <w:tcW w:w="0" w:type="auto"/>
            <w:vMerge/>
            <w:tcBorders>
              <w:top w:val="nil"/>
              <w:left w:val="single" w:color="cfcfcf" w:sz="5"/>
              <w:bottom w:val="single" w:color="cfcfcf" w:sz="5"/>
              <w:right w:val="single" w:color="cfcfcf" w:sz="5"/>
            </w:tcBorders>
          </w:tcP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информационный коэффициент</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объема активов по данному типу</w:t>
            </w:r>
            <w:r>
              <w:br/>
            </w:r>
            <w:r>
              <w:rPr>
                <w:rFonts w:ascii="Times New Roman"/>
                <w:b w:val="false"/>
                <w:i w:val="false"/>
                <w:color w:val="000000"/>
                <w:sz w:val="20"/>
              </w:rPr>
              <w:t>
мандата к общим активам под управлением (при</w:t>
            </w:r>
            <w:r>
              <w:br/>
            </w:r>
            <w:r>
              <w:rPr>
                <w:rFonts w:ascii="Times New Roman"/>
                <w:b w:val="false"/>
                <w:i w:val="false"/>
                <w:color w:val="000000"/>
                <w:sz w:val="20"/>
              </w:rPr>
              <w:t>
проведении сравнительного анализа</w:t>
            </w:r>
            <w:r>
              <w:br/>
            </w:r>
            <w:r>
              <w:rPr>
                <w:rFonts w:ascii="Times New Roman"/>
                <w:b w:val="false"/>
                <w:i w:val="false"/>
                <w:color w:val="000000"/>
                <w:sz w:val="20"/>
              </w:rPr>
              <w:t>
предложений потенциальных внешних</w:t>
            </w:r>
            <w:r>
              <w:br/>
            </w:r>
            <w:r>
              <w:rPr>
                <w:rFonts w:ascii="Times New Roman"/>
                <w:b w:val="false"/>
                <w:i w:val="false"/>
                <w:color w:val="000000"/>
                <w:sz w:val="20"/>
              </w:rPr>
              <w:t>
управляющих, специализирующихся на</w:t>
            </w:r>
            <w:r>
              <w:br/>
            </w:r>
            <w:r>
              <w:rPr>
                <w:rFonts w:ascii="Times New Roman"/>
                <w:b w:val="false"/>
                <w:i w:val="false"/>
                <w:color w:val="000000"/>
                <w:sz w:val="20"/>
              </w:rPr>
              <w:t>
региональных мандатах и участвующих в выборе</w:t>
            </w:r>
            <w:r>
              <w:br/>
            </w:r>
            <w:r>
              <w:rPr>
                <w:rFonts w:ascii="Times New Roman"/>
                <w:b w:val="false"/>
                <w:i w:val="false"/>
                <w:color w:val="000000"/>
                <w:sz w:val="20"/>
              </w:rPr>
              <w:t>
управляющего по глобальному мандату,</w:t>
            </w:r>
            <w:r>
              <w:br/>
            </w:r>
            <w:r>
              <w:rPr>
                <w:rFonts w:ascii="Times New Roman"/>
                <w:b w:val="false"/>
                <w:i w:val="false"/>
                <w:color w:val="000000"/>
                <w:sz w:val="20"/>
              </w:rPr>
              <w:t>
используется объем активов по региональным</w:t>
            </w:r>
            <w:r>
              <w:br/>
            </w:r>
            <w:r>
              <w:rPr>
                <w:rFonts w:ascii="Times New Roman"/>
                <w:b w:val="false"/>
                <w:i w:val="false"/>
                <w:color w:val="000000"/>
                <w:sz w:val="20"/>
              </w:rPr>
              <w:t>
мандатам. Данное значение нормируется в</w:t>
            </w:r>
            <w:r>
              <w:br/>
            </w:r>
            <w:r>
              <w:rPr>
                <w:rFonts w:ascii="Times New Roman"/>
                <w:b w:val="false"/>
                <w:i w:val="false"/>
                <w:color w:val="000000"/>
                <w:sz w:val="20"/>
              </w:rPr>
              <w:t>
зависимости от охвата соответствующего</w:t>
            </w:r>
            <w:r>
              <w:br/>
            </w:r>
            <w:r>
              <w:rPr>
                <w:rFonts w:ascii="Times New Roman"/>
                <w:b w:val="false"/>
                <w:i w:val="false"/>
                <w:color w:val="000000"/>
                <w:sz w:val="20"/>
              </w:rPr>
              <w:t>
мандата)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0" w:type="auto"/>
            <w:vMerge/>
            <w:tcBorders>
              <w:top w:val="nil"/>
              <w:left w:val="single" w:color="cfcfcf" w:sz="5"/>
              <w:bottom w:val="single" w:color="cfcfcf" w:sz="5"/>
              <w:right w:val="single" w:color="cfcfcf" w:sz="5"/>
            </w:tcBorders>
          </w:tcP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объема активов институциональных</w:t>
            </w:r>
            <w:r>
              <w:br/>
            </w:r>
            <w:r>
              <w:rPr>
                <w:rFonts w:ascii="Times New Roman"/>
                <w:b w:val="false"/>
                <w:i w:val="false"/>
                <w:color w:val="000000"/>
                <w:sz w:val="20"/>
              </w:rPr>
              <w:t>
инвесторов к общим активам под управлением</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опыт работы портфельных менеджеров и</w:t>
            </w:r>
            <w:r>
              <w:br/>
            </w:r>
            <w:r>
              <w:rPr>
                <w:rFonts w:ascii="Times New Roman"/>
                <w:b w:val="false"/>
                <w:i w:val="false"/>
                <w:color w:val="000000"/>
                <w:sz w:val="20"/>
              </w:rPr>
              <w:t>
аналитиков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0" w:type="auto"/>
            <w:vMerge/>
            <w:tcBorders>
              <w:top w:val="nil"/>
              <w:left w:val="single" w:color="cfcfcf" w:sz="5"/>
              <w:bottom w:val="single" w:color="cfcfcf" w:sz="5"/>
              <w:right w:val="single" w:color="cfcfcf" w:sz="5"/>
            </w:tcBorders>
          </w:tcP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текучесть кадров</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Кредитный статус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если есть гарантия головной</w:t>
            </w:r>
            <w:r>
              <w:br/>
            </w:r>
            <w:r>
              <w:rPr>
                <w:rFonts w:ascii="Times New Roman"/>
                <w:b w:val="false"/>
                <w:i w:val="false"/>
                <w:color w:val="000000"/>
                <w:sz w:val="20"/>
              </w:rPr>
              <w:t>
организации, либо соглашение подписывается с</w:t>
            </w:r>
            <w:r>
              <w:br/>
            </w:r>
            <w:r>
              <w:rPr>
                <w:rFonts w:ascii="Times New Roman"/>
                <w:b w:val="false"/>
                <w:i w:val="false"/>
                <w:color w:val="000000"/>
                <w:sz w:val="20"/>
              </w:rPr>
              <w:t>
головной, то кредитный рейтинг головной</w:t>
            </w:r>
            <w:r>
              <w:br/>
            </w:r>
            <w:r>
              <w:rPr>
                <w:rFonts w:ascii="Times New Roman"/>
                <w:b w:val="false"/>
                <w:i w:val="false"/>
                <w:color w:val="000000"/>
                <w:sz w:val="20"/>
              </w:rPr>
              <w:t>
организации (S&amp;P или Moody's), в противном</w:t>
            </w:r>
            <w:r>
              <w:br/>
            </w:r>
            <w:r>
              <w:rPr>
                <w:rFonts w:ascii="Times New Roman"/>
                <w:b w:val="false"/>
                <w:i w:val="false"/>
                <w:color w:val="000000"/>
                <w:sz w:val="20"/>
              </w:rPr>
              <w:t>
случае кредитный рейтинг компании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комиссии за управление</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90" w:hRule="atLeast"/>
        </w:trPr>
        <w:tc>
          <w:tcPr>
            <w:tcW w:w="0" w:type="auto"/>
            <w:vMerge/>
            <w:tcBorders>
              <w:top w:val="nil"/>
              <w:left w:val="single" w:color="cfcfcf" w:sz="5"/>
              <w:bottom w:val="single" w:color="cfcfcf" w:sz="5"/>
              <w:right w:val="single" w:color="cfcfcf" w:sz="5"/>
            </w:tcBorders>
          </w:tcP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базовой комиссии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90" w:hRule="atLeast"/>
        </w:trPr>
        <w:tc>
          <w:tcPr>
            <w:tcW w:w="0" w:type="auto"/>
            <w:vMerge/>
            <w:tcBorders>
              <w:top w:val="nil"/>
              <w:left w:val="single" w:color="cfcfcf" w:sz="5"/>
              <w:bottom w:val="single" w:color="cfcfcf" w:sz="5"/>
              <w:right w:val="single" w:color="cfcfcf" w:sz="5"/>
            </w:tcBorders>
          </w:tcP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принципа net new high basis since</w:t>
            </w:r>
            <w:r>
              <w:br/>
            </w:r>
            <w:r>
              <w:rPr>
                <w:rFonts w:ascii="Times New Roman"/>
                <w:b w:val="false"/>
                <w:i w:val="false"/>
                <w:color w:val="000000"/>
                <w:sz w:val="20"/>
              </w:rPr>
              <w:t>
inception</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Национального Банка</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0" w:type="auto"/>
            <w:vMerge/>
            <w:tcBorders>
              <w:top w:val="nil"/>
              <w:left w:val="single" w:color="cfcfcf" w:sz="5"/>
              <w:bottom w:val="single" w:color="cfcfcf" w:sz="5"/>
              <w:right w:val="single" w:color="cfcfcf" w:sz="5"/>
            </w:tcBorders>
          </w:tcP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 отчетность</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специализированного программного</w:t>
            </w:r>
            <w:r>
              <w:br/>
            </w:r>
            <w:r>
              <w:rPr>
                <w:rFonts w:ascii="Times New Roman"/>
                <w:b w:val="false"/>
                <w:i w:val="false"/>
                <w:color w:val="000000"/>
                <w:sz w:val="20"/>
              </w:rPr>
              <w:t>
обеспечения по контролю и управлению рисками</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ответственности перед Национальным</w:t>
            </w:r>
            <w:r>
              <w:br/>
            </w:r>
            <w:r>
              <w:rPr>
                <w:rFonts w:ascii="Times New Roman"/>
                <w:b w:val="false"/>
                <w:i w:val="false"/>
                <w:color w:val="000000"/>
                <w:sz w:val="20"/>
              </w:rPr>
              <w:t>
Банком в случае нарушения условий соглашения</w:t>
            </w:r>
            <w:r>
              <w:br/>
            </w:r>
            <w:r>
              <w:rPr>
                <w:rFonts w:ascii="Times New Roman"/>
                <w:b w:val="false"/>
                <w:i w:val="false"/>
                <w:color w:val="000000"/>
                <w:sz w:val="20"/>
              </w:rPr>
              <w:t>
по внешнему управлению</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