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a379" w14:textId="c6da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сентября 2011 года № 117. Зарегистрировано в Министерстве юстиции Республики Казахстан 16 ноября 2011 года № 7295. Утратило силу постановлением Правления Национального Банка Республики Казахстан от 30 мая 2016 года № 147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целях совершенствования нормативных правовых актов, регулирующих деятельность банков второго уровня, Правление Национального Банка Республики Казахстан постановляет:</w:t>
      </w:r>
      <w:r>
        <w:br/>
      </w:r>
      <w:r>
        <w:rPr>
          <w:rFonts w:ascii="Times New Roman"/>
          <w:b w:val="false"/>
          <w:i w:val="false"/>
          <w:color w:val="000000"/>
          <w:sz w:val="28"/>
        </w:rPr>
        <w:t>
      1.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3924) внести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нормативных значениях и методике расчетов пруденциальных нормативов для банков второго уровня,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Инвестиции банка при расчете собственного капитала для целей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представляют собой вложения банка в субординированный долг юридического лица, совокупный размер которых превышает десять процентов суммы капитала первого уровня и капитала второго уровня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Капитал первого уровня рассчитывается как сумма:</w:t>
      </w:r>
      <w:r>
        <w:br/>
      </w:r>
      <w:r>
        <w:rPr>
          <w:rFonts w:ascii="Times New Roman"/>
          <w:b w:val="false"/>
          <w:i w:val="false"/>
          <w:color w:val="000000"/>
          <w:sz w:val="28"/>
        </w:rPr>
        <w:t>
      оплаченного уставного капитала за минусом собственных выкупленных акций;</w:t>
      </w:r>
      <w:r>
        <w:br/>
      </w:r>
      <w:r>
        <w:rPr>
          <w:rFonts w:ascii="Times New Roman"/>
          <w:b w:val="false"/>
          <w:i w:val="false"/>
          <w:color w:val="000000"/>
          <w:sz w:val="28"/>
        </w:rPr>
        <w:t>
      дополнительного капитала;</w:t>
      </w:r>
      <w:r>
        <w:br/>
      </w:r>
      <w:r>
        <w:rPr>
          <w:rFonts w:ascii="Times New Roman"/>
          <w:b w:val="false"/>
          <w:i w:val="false"/>
          <w:color w:val="000000"/>
          <w:sz w:val="28"/>
        </w:rPr>
        <w:t>
      нераспределенного чистого дохода прошлых лет (в том числе фонды, резервы, сформированные за счет чистого дохода прошлых лет);</w:t>
      </w:r>
      <w:r>
        <w:br/>
      </w:r>
      <w:r>
        <w:rPr>
          <w:rFonts w:ascii="Times New Roman"/>
          <w:b w:val="false"/>
          <w:i w:val="false"/>
          <w:color w:val="000000"/>
          <w:sz w:val="28"/>
        </w:rPr>
        <w:t>
      бессрочных договоров,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указанные в пунктах 5-9 настоящей Инструкции);</w:t>
      </w:r>
      <w:r>
        <w:br/>
      </w:r>
      <w:r>
        <w:rPr>
          <w:rFonts w:ascii="Times New Roman"/>
          <w:b w:val="false"/>
          <w:i w:val="false"/>
          <w:color w:val="000000"/>
          <w:sz w:val="28"/>
        </w:rPr>
        <w:t>
      отложенного налогового обязательства, сформированного за счет нераспределенного чистого дохода прошлых лет, возникшего в связи с разницей в балансовой стоимости активов и обязательств, подлежащих классификации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"Об утверждении Правил классификации активов, условных обязательств и создания провизий (резервов) против них" (зарегистрированного в Реестре государственной регистрации нормативных правовых актов под № 4580) (далее - постановление № 296), и их налоговой базой;</w:t>
      </w:r>
      <w:r>
        <w:br/>
      </w:r>
      <w:r>
        <w:rPr>
          <w:rFonts w:ascii="Times New Roman"/>
          <w:b w:val="false"/>
          <w:i w:val="false"/>
          <w:color w:val="000000"/>
          <w:sz w:val="28"/>
        </w:rPr>
        <w:t>
      за минусом:</w:t>
      </w:r>
      <w:r>
        <w:br/>
      </w: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банка и соответствующего Международному стандарту финансовой отчетности 38 "Нематериальные активы", утвержденному Правлением Комитета по международным стандартам финансовой отчетности в июле 1998 года, вступившему в силу для финансовой отчетности, охватывающей периоды, начинающиеся с или после 1 июля 1999 года (далее - Международный стандарт финансовой отчетности 38);</w:t>
      </w:r>
      <w:r>
        <w:br/>
      </w:r>
      <w:r>
        <w:rPr>
          <w:rFonts w:ascii="Times New Roman"/>
          <w:b w:val="false"/>
          <w:i w:val="false"/>
          <w:color w:val="000000"/>
          <w:sz w:val="28"/>
        </w:rPr>
        <w:t>
      убытков прошлых лет;</w:t>
      </w:r>
      <w:r>
        <w:br/>
      </w:r>
      <w:r>
        <w:rPr>
          <w:rFonts w:ascii="Times New Roman"/>
          <w:b w:val="false"/>
          <w:i w:val="false"/>
          <w:color w:val="000000"/>
          <w:sz w:val="28"/>
        </w:rPr>
        <w:t>
      убытка текущего года.</w:t>
      </w:r>
      <w:r>
        <w:br/>
      </w:r>
      <w:r>
        <w:rPr>
          <w:rFonts w:ascii="Times New Roman"/>
          <w:b w:val="false"/>
          <w:i w:val="false"/>
          <w:color w:val="000000"/>
          <w:sz w:val="28"/>
        </w:rPr>
        <w:t>
      Допускается включение банками, осуществляющими (осуществившими)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 капитал первого уровня доходов текущего года, полученных в финансовом году завершения реструктуризации.";</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"размера нераспределенной чистой прибыли;";</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"субординированного долга второго уровня банка, включаемого в собственный капитал, в сумме, не превышающей пятьдесят процентов суммы капитала первого уровня, за минусом выкупленного собственного субординированного долга банка;";</w:t>
      </w:r>
      <w:r>
        <w:br/>
      </w:r>
      <w:r>
        <w:rPr>
          <w:rFonts w:ascii="Times New Roman"/>
          <w:b w:val="false"/>
          <w:i w:val="false"/>
          <w:color w:val="000000"/>
          <w:sz w:val="28"/>
        </w:rPr>
        <w:t>
</w:t>
      </w:r>
      <w:r>
        <w:rPr>
          <w:rFonts w:ascii="Times New Roman"/>
          <w:b w:val="false"/>
          <w:i w:val="false"/>
          <w:color w:val="000000"/>
          <w:sz w:val="28"/>
        </w:rPr>
        <w:t>
      дополнить абзацем седьмым следующего содержания:</w:t>
      </w:r>
      <w:r>
        <w:br/>
      </w:r>
      <w:r>
        <w:rPr>
          <w:rFonts w:ascii="Times New Roman"/>
          <w:b w:val="false"/>
          <w:i w:val="false"/>
          <w:color w:val="000000"/>
          <w:sz w:val="28"/>
        </w:rPr>
        <w:t>
      "отложенного налогового обязательства, сформированного за счет расходов текущего года, возникшего в связи с разницей в балансовой стоимости активов и обязательств, подлежащих классификации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296, и их налоговой базой.";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Достаточность собственного капитала банка характеризуется тремя коэффициентами:</w:t>
      </w:r>
      <w:r>
        <w:br/>
      </w:r>
      <w:r>
        <w:rPr>
          <w:rFonts w:ascii="Times New Roman"/>
          <w:b w:val="false"/>
          <w:i w:val="false"/>
          <w:color w:val="000000"/>
          <w:sz w:val="28"/>
        </w:rPr>
        <w:t>
      1) отношением капитала первого уровня за вычетом инвестиций банка, взятых в пределах доли капитала первого уровня в общей сумме капитала первого уровня и включаемой в расчет собственного капитала части капитала второго уровня, к размеру активов банка, уменьшенных на сумму инвестиций банка, взятых в пределах доли капитала первого уровня в общей сумме капитала первого уровня и включаемой в расчет собственного капитала части капитала второго уровня (kl-1);</w:t>
      </w:r>
      <w:r>
        <w:br/>
      </w:r>
      <w:r>
        <w:rPr>
          <w:rFonts w:ascii="Times New Roman"/>
          <w:b w:val="false"/>
          <w:i w:val="false"/>
          <w:color w:val="000000"/>
          <w:sz w:val="28"/>
        </w:rPr>
        <w:t>
      2) отношением капитала первого уровня за вычетом инвестиций банка, взятых в пределах доли капитала первого уровня в общей сумме капитала первого уровня и включаемой в расчет собственного капитала части капитала второго уровня к сумме:</w:t>
      </w:r>
      <w:r>
        <w:br/>
      </w:r>
      <w:r>
        <w:rPr>
          <w:rFonts w:ascii="Times New Roman"/>
          <w:b w:val="false"/>
          <w:i w:val="false"/>
          <w:color w:val="000000"/>
          <w:sz w:val="28"/>
        </w:rPr>
        <w:t>
      активов, условных и возможных обязательств, взвешенных по степени кредитного риска, уменьшенной на сумму общих резервов (провизий), не включенных в расчет капитала второго уровня;</w:t>
      </w:r>
      <w:r>
        <w:br/>
      </w: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r>
        <w:br/>
      </w:r>
      <w:r>
        <w:rPr>
          <w:rFonts w:ascii="Times New Roman"/>
          <w:b w:val="false"/>
          <w:i w:val="false"/>
          <w:color w:val="000000"/>
          <w:sz w:val="28"/>
        </w:rPr>
        <w:t>
      операционного риска (k1-2);</w:t>
      </w:r>
      <w:r>
        <w:br/>
      </w:r>
      <w:r>
        <w:rPr>
          <w:rFonts w:ascii="Times New Roman"/>
          <w:b w:val="false"/>
          <w:i w:val="false"/>
          <w:color w:val="000000"/>
          <w:sz w:val="28"/>
        </w:rPr>
        <w:t>
      3) отношением собственного капитала к сумме:</w:t>
      </w:r>
      <w:r>
        <w:br/>
      </w:r>
      <w:r>
        <w:rPr>
          <w:rFonts w:ascii="Times New Roman"/>
          <w:b w:val="false"/>
          <w:i w:val="false"/>
          <w:color w:val="000000"/>
          <w:sz w:val="28"/>
        </w:rPr>
        <w:t>
      активов, условных и возможных обязательств, взвешенных по степени кредитного риска, уменьшенной на сумму общих резервов (провизии), не включенных в расчет капитала второго уровня;</w:t>
      </w:r>
      <w:r>
        <w:br/>
      </w: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r>
        <w:br/>
      </w:r>
      <w:r>
        <w:rPr>
          <w:rFonts w:ascii="Times New Roman"/>
          <w:b w:val="false"/>
          <w:i w:val="false"/>
          <w:color w:val="000000"/>
          <w:sz w:val="28"/>
        </w:rPr>
        <w:t>
      операционного риска (k2).</w:t>
      </w:r>
      <w:r>
        <w:br/>
      </w:r>
      <w:r>
        <w:rPr>
          <w:rFonts w:ascii="Times New Roman"/>
          <w:b w:val="false"/>
          <w:i w:val="false"/>
          <w:color w:val="000000"/>
          <w:sz w:val="28"/>
        </w:rPr>
        <w:t>
      Активы для целей расчета коэффициента kl-1 и активы, условные и возможные обязательства, взвешенные по степени риска, принимаемые в расчет коэффициентов к1-2 и к2, включаются по балансовой стоимости с учетом специальных резервов (провизии), сформированных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296.";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Значение коэффициента достаточности собственного капитала банка к2 составляет не менее 0,12.</w:t>
      </w:r>
      <w:r>
        <w:br/>
      </w:r>
      <w:r>
        <w:rPr>
          <w:rFonts w:ascii="Times New Roman"/>
          <w:b w:val="false"/>
          <w:i w:val="false"/>
          <w:color w:val="000000"/>
          <w:sz w:val="28"/>
        </w:rPr>
        <w:t>
      Для банка, не имеющего крупного участника - физического лица, значение коэффициента достаточности собственного капитала банка k2 составляет не менее 0,14.</w:t>
      </w:r>
      <w:r>
        <w:br/>
      </w:r>
      <w:r>
        <w:rPr>
          <w:rFonts w:ascii="Times New Roman"/>
          <w:b w:val="false"/>
          <w:i w:val="false"/>
          <w:color w:val="000000"/>
          <w:sz w:val="28"/>
        </w:rPr>
        <w:t>
      Для банка, участником которого является банковский холдинг либо родительский банк, для банка, более пятидесяти процентов размещенных акций которого принадлежат государству либо национальному управляющему холдингу, значение коэффициента достаточности собственного капитала банка k2 составляет не менее 0,10.</w:t>
      </w:r>
      <w:r>
        <w:br/>
      </w:r>
      <w:r>
        <w:rPr>
          <w:rFonts w:ascii="Times New Roman"/>
          <w:b w:val="false"/>
          <w:i w:val="false"/>
          <w:color w:val="000000"/>
          <w:sz w:val="28"/>
        </w:rPr>
        <w:t>
      Расчет активов, условных и возможных обязательств, взвешиваемых по степени кредитного риска, проводится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специальных резервов (провизий),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296. </w:t>
      </w:r>
      <w:r>
        <w:br/>
      </w:r>
      <w:r>
        <w:rPr>
          <w:rFonts w:ascii="Times New Roman"/>
          <w:b w:val="false"/>
          <w:i w:val="false"/>
          <w:color w:val="000000"/>
          <w:sz w:val="28"/>
        </w:rPr>
        <w:t>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 на степень риска, соответствующую категории контрагента,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 по которому банк несет кредитные риски.</w:t>
      </w:r>
      <w:r>
        <w:br/>
      </w:r>
      <w:r>
        <w:rPr>
          <w:rFonts w:ascii="Times New Roman"/>
          <w:b w:val="false"/>
          <w:i w:val="false"/>
          <w:color w:val="000000"/>
          <w:sz w:val="28"/>
        </w:rPr>
        <w:t>
      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 и определяемый сроком погашения указанных финансовых инструментов.</w:t>
      </w:r>
      <w:r>
        <w:br/>
      </w: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w:t>
      </w:r>
      <w:r>
        <w:br/>
      </w: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банка формируются требования.</w:t>
      </w:r>
      <w:r>
        <w:br/>
      </w:r>
      <w:r>
        <w:rPr>
          <w:rFonts w:ascii="Times New Roman"/>
          <w:b w:val="false"/>
          <w:i w:val="false"/>
          <w:color w:val="000000"/>
          <w:sz w:val="28"/>
        </w:rPr>
        <w:t>
      Проданные опционы не включаются в расчет условных и возможных обязательств, взвешенных с учетом кредитного риска.</w:t>
      </w:r>
      <w:r>
        <w:br/>
      </w:r>
      <w:r>
        <w:rPr>
          <w:rFonts w:ascii="Times New Roman"/>
          <w:b w:val="false"/>
          <w:i w:val="false"/>
          <w:color w:val="000000"/>
          <w:sz w:val="28"/>
        </w:rPr>
        <w:t>
      Расчет активов, условных и возможных требований и обязательств с учетом рыночного риска проводится согласно пунктам 17-30 настоящей Инструкции.</w:t>
      </w:r>
      <w:r>
        <w:br/>
      </w:r>
      <w:r>
        <w:rPr>
          <w:rFonts w:ascii="Times New Roman"/>
          <w:b w:val="false"/>
          <w:i w:val="false"/>
          <w:color w:val="000000"/>
          <w:sz w:val="28"/>
        </w:rPr>
        <w:t>
      Расчет операционного риска проводится согласно пункту 31 настоящей Инструкции.</w:t>
      </w:r>
      <w:r>
        <w:br/>
      </w:r>
      <w:r>
        <w:rPr>
          <w:rFonts w:ascii="Times New Roman"/>
          <w:b w:val="false"/>
          <w:i w:val="false"/>
          <w:color w:val="000000"/>
          <w:sz w:val="28"/>
        </w:rPr>
        <w:t>
      При расчете коэффициентов достаточности собственного капитала (kl-1, к1-2, k2) из размера активов и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31-11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"Вычет распределяется в размере пятидесяти процентов из капитала первого уровня и пятидесяти процентов из капитала второго уровня. Вычитаемые позиции уменьшаются на сумму, созданных специальных резервов (провизий),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296.";</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подпункта 5)</w:t>
      </w:r>
      <w:r>
        <w:rPr>
          <w:rFonts w:ascii="Times New Roman"/>
          <w:b w:val="false"/>
          <w:i w:val="false"/>
          <w:color w:val="000000"/>
          <w:sz w:val="28"/>
        </w:rPr>
        <w:t xml:space="preserve"> пункта 34 изложить в следующей редакции:</w:t>
      </w:r>
      <w:r>
        <w:br/>
      </w:r>
      <w:r>
        <w:rPr>
          <w:rFonts w:ascii="Times New Roman"/>
          <w:b w:val="false"/>
          <w:i w:val="false"/>
          <w:color w:val="000000"/>
          <w:sz w:val="28"/>
        </w:rPr>
        <w:t>
      "5) за минусом суммы сформированных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296 специальных резервов (провизий), а также суммы обеспечения по обязательствам заемщика в виде:";</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В расчет ликвидных активов включаются все финансовые активы, включая высоколиквидные активы, за минусом специальных сформированных провизий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296,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r>
        <w:br/>
      </w:r>
      <w:r>
        <w:rPr>
          <w:rFonts w:ascii="Times New Roman"/>
          <w:b w:val="false"/>
          <w:i w:val="false"/>
          <w:color w:val="000000"/>
          <w:sz w:val="28"/>
        </w:rPr>
        <w:t>
</w:t>
      </w:r>
      <w:r>
        <w:rPr>
          <w:rFonts w:ascii="Times New Roman"/>
          <w:b w:val="false"/>
          <w:i w:val="false"/>
          <w:color w:val="000000"/>
          <w:sz w:val="28"/>
        </w:rPr>
        <w:t>
      часть седьмую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сформированных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296 специальных провизий, и на счетах обязательств банка.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сформированных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296 специальных провизий. Сальдо, отражающие превышение требований (обязательств) в иностранной валюте (аффинированном драгоценном металле) над обязательствами (требованиями), взаимно суммируются, а полученный результат определяет размер и вид открытой позиции банка по иностранной валюте (аффинированному драгоценному металлу).".</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 Действие абзацев третьего и четвертого пункта 1 настоящего постановления распространяется на отношения, возникшие с 1 июля 2011 года.</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