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d5f" w14:textId="a819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изучения и использования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27 сентября 2011 года № 349 и и.о. Министра экономического развития и торговли Республики Казахстан от 1 октября 2011 года № 324. Зарегистрирован в Министерстве юстиции Республики Казахстан 24 октября 2011 года № 7276. Утратил силу совместным приказом Министра по инвестициям и развитию Республики Казахстан от 30 июня 2015 года № 740 и приказ Министра национальной экономики Республики Казахстан от 20 июля 2015 года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30.06.2015 № 740 и приказ Министра национальной экономики РК от 20.07.2015 № 538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изучения и использования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(Турганбаев Б.М.)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2010 года № 72 и И.о. Министра энергетики и минеральных ресурсов Республики Казахстан от 15 февраля 2010 года № 30 "Об утверждении критериев оценки степени риска в сфере недропользования" (зарегистрированный в Реестре государственной регистрации нормативных правовых актов № 6078, опубликованный в газетах "Юридическая газета" от 13 мая 2010 года № 67 (1863) и "Заң газеті" от 13 мая 2010 года № 67 (1689)).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новых технологий  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Рау     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сентября 2011 года № 349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октября 2011 года № 324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области изучения и использования недр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изучения и использования недр (далее - Критерии) разработаны в соответствии с Законами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 и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уполномоченным органом по изучению и использованию недр субъектов, осуществляющих деятельность в области изучения и использования недр,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- недропользователь, обладающий правом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изучения и использования недр - вероятность причинения вреда состоянию недр, минерально-сырьевой базе в результате деятельности субъектов в области изучения и использования недр с учетом тяжести его последствий.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рисков и распределение субъектов контроля по степеням</w:t>
      </w:r>
      <w:r>
        <w:br/>
      </w:r>
      <w:r>
        <w:rPr>
          <w:rFonts w:ascii="Times New Roman"/>
          <w:b/>
          <w:i w:val="false"/>
          <w:color w:val="000000"/>
        </w:rPr>
        <w:t>
риска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Отнесение субъектов контроля по степеням рисков в сфере частного предпринимательства осуществляется на основании объективных критериев - при первичном отнесении и субъективных критериев - при последующем отнесении.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распределении, субъекты контроля подразделяются на степени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субъекты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твердых полезных ископаемых,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подземных вод для водоснабжения городов областного значения,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субъекты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твердых полезных ископаемых,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и добыче общераспространенных полезных ископаемых и подземных вод, за исключением субъектов, осуществляющих деятельность по добыче подземных вод для водоснабжения городов областного значения,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 субъекты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и добыче подземных вод для водообеспечения городов районного значения 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строительству и (или) эксплуатации подземных сооружений, не связанных с разведкой и (или)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последующем распределении субъектов контроля, каждому нарушению присваиваются соответствующие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плановых объемов добычи по проекту разработки месторождения: до 50 %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70 %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70 % до 90 %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90 % до 95 %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плановых объемов вскрыши по проекту разработки месторождения: до 50 %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70 %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70 % до 90 %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90 % до 95 %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календарного графика разработки месторождения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работ за пределами проектных контуров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нормативов потерь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достоверного учета добычи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обязательств по рациональному и комплексному использованию полезных ископаемых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сверхнормативное сжигание попутного и (или) природного газа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фонда скважин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объемов закачки рабочего агента (воды, газа) для поднятия пластового давления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работ по обустройству месторождения согласно проекта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технического состояния скважин при строительстве и эксплуатации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графика проведения геологоразведочных работ согласно Рабочей программы и проектов разведки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объемов исследовательских работ при пробной эксплуатации объекта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мониторинга подземных вод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первичного учета водоотбора на водозаборных сооружениях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из приведенных рисков рассматривается в количественном формате и используется в качестве сведений для определения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80 баллов будут отнесены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 до 80 баллов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30 баллов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период деятельности, субъекты контроля в сфере частного предпринимательства при допущении нарушений могут переходить из категории низкой степени риска в более высокую степень риска и обратно, с соответствующей кратностью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проведения проверок внутри одной группы риска будет определяться: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объемам добычи;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наибольшей сумме набранных баллов.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