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870" w14:textId="60e1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 системы управления рисками, которая применяется
при планировании и проведении внешнего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31 августа 2011 года № 3-НП. Зарегистрировано в Министерстве юстиции Республики Казахстан 26 сентября 2011 года № 7205. Утратило силу нормативным постановлением Счетного комитета по контролю за исполнением республиканского бюджета от 28 ноября 2015 года № 13-НҚ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планировании и проведении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Сыздыкову Е.К. в месячный срок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3-НП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система управления рисками, которая</w:t>
      </w:r>
      <w:r>
        <w:br/>
      </w:r>
      <w:r>
        <w:rPr>
          <w:rFonts w:ascii="Times New Roman"/>
          <w:b/>
          <w:i w:val="false"/>
          <w:color w:val="000000"/>
        </w:rPr>
        <w:t>
применяется при планировании и проведении внешнего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финансового контроля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Типовая система в редакции нормативного постановления Счетного комитета по контролю за исполнением республиканского бюджета от 18.01.2013 </w:t>
      </w:r>
      <w:r>
        <w:rPr>
          <w:rFonts w:ascii="Times New Roman"/>
          <w:b w:val="false"/>
          <w:i w:val="false"/>
          <w:color w:val="ff0000"/>
          <w:sz w:val="28"/>
        </w:rPr>
        <w:t>№ 1-НП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система управления рисками, которая применяется при планировании и проведении внешнего государственного финансового контроля (далее – Типовая система)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типовой системы является выявление объектов контроля повышенного риска, а также наиболее подверженных риску с целью их максимального охвата финансовым контролем.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типовой системы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- участники бюджетного процесса, субъекты квазигосударственного сектора, а также получатели бюджетных средств, физические и юридические лица, использующие связанные гранты, активы государства, гарантированные государством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объекта контроля - подготовительный этап, в ходе которого создаются необходимые предпосылки для планирования и проведения всего процесса контрольных мероприятий, базирующийся на сборе, анализе и оценке информации о результатах деятельности объекта контроля, возникающих рисках и существующих проблемах;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– перечень показателей, на основе которых принимается решение об отнесении объекта контроля к определенной группе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законодательства Республики Казахстан, неблагоприятного воздействия события или действия на объект контроля,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неэффективного исполнения целевых индикаторов и показателей, предусмотренных в программных документах и стратегических планах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группа риска – условно проведенное объединение объектов контроля по полученным критериям в соответствии с параметрами и показателями, установленными настоящей типовой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- процессы, связанные с идентификацией, анализом рисков и принятием решений, которые включают максимизацию положительных и минимизацию отрицательных последствий наступления рисковых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рисками – система администрирования, обеспечивающая проведение эффективного планирования и проведения контрольных мероприятий, базирующаяся на принципах выборочности, оптимального распределения ресурсов на наиболее приоритетных направлениях контрольной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анализ риска – действие, проводимое для выявления наибольшего влияния риска на ту или иную сферу деятельности объекта контроля с целью оптимизации процесса оценки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оценка степени риска - натурально-вещественный и стоимостный анализ всех рисковых обстоятельств, характеризующих параметры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Процесс управления рисками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базы данных для проведения оценки рисков путем сбора необходимой информации из финансовой, бюджетной, бухгалтерской отчетности, полученной от объектов контроля и из других официальных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рисков заключается в ранжировании рисков по степени важности (высокая, средняя, минимальная);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расчет сводного показателя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результатов оценки рисков и оформление выходных форм в разрезе объектов контроля, критериев, степени важности и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и контроль рисков, то есть учет объектов контроля по группам риска в динамике для последующего анализа и оценки эффективности действий по минимизации рисков объектами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планирование управлением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Типовая система используется при составлении плана контрольно-аналитических мероприятий, проведении контроля, анализа и оценки объектов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Типовая система используется органами внешнего государственного финансового контроля (далее - органы контроля) согласно возложенным функциям и полномочиям на всех уровнях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– Счетным комитетом по контролю за исполнением республиканского бюджета (далее – Счетный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– ревизионными комиссиями областей, городов республиканского значения, столицы (далее – ревизионные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Вопросы, не регламентированные настоящей типовой системой, решаются ревизионными комиссиями по согласованию со Счетным комитетом.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Создание базы данных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оценки рисков и идентификация рисков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базы данных для проведения оценки рисков осуществляется в ходе анализа показателей, на основе которых вырабатываются критерии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процессе проведения анализа определяются показатели наиболее подверженные риску, относящие объект контроля к соответствующей группе риска, а также устойчивые и менее подверженные риску. При этом определяется перечень критериев для проведения идентификации рисков, а также проводится документирование их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Идентификация рисков проводится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первоначальном этапе проводятся расчетные операции по исчислению необходимых для идентификации рисков значений и данных в виде количественных и качественных измерений, долей, динамики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осуществляются аналитические мероприятия, сравнение и сопоставление значений и данных по критериям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проводится идентификация рисков и распределение объектов контроля по группам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идентификации рисков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качественная оценка рисков, то есть установление для каждого критерия диапазона значений, позволяющее проведение их качественной оценки, исходя из показателей, полученных по определенному критерию, объект контроля относится к одной из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количественная оценка рисков, то есть сравнение критериев в зависимости от суммы значений на основе чего происходит отнесение объекта контроля к той или иной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Ранжирование объектов контроля внутри группы риска осуществляется в зависимости от суммы полученных значений по группе, к которой он отнесен. На первое место в группе с высокой степенью риска ставится объект, набравший максимальную сумму значений по этой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процессом идентификации рисков на всех этапах осуществляется руководителем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критериев по отнесению объектов контроля к группам риска для планирования и проведения контрольных мероприятий определяется на основе их открытости, доступности и количественной измеряемости.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Расчет сводного показателя риска и получение</w:t>
      </w:r>
      <w:r>
        <w:br/>
      </w:r>
      <w:r>
        <w:rPr>
          <w:rFonts w:ascii="Times New Roman"/>
          <w:b/>
          <w:i w:val="false"/>
          <w:color w:val="000000"/>
        </w:rPr>
        <w:t>
результатов оценки рисков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каждого критерия установлен диапазон значений. Исходя из значения по определенному критерию, показатель относится к одной из трех групп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Исходя из установленных диапазонов значений для отдельного критерия, в зависимости от того, к какой группе риска относится значение показателя объекта контроля, показателю присваивается значение этой группы риска. Показателям, значения которых относятся к группе высокой степени риска, присваивается 3 балла, средней степени риска – 2 балла и минимальной степени риска -1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Расчет сводного показателя риска по объекту контроля производится в разрезе каждой группы по каждому объекту контроля путем суммирования значений групп риска каждого критерия.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определения степени риска объектов контроля определяется процентная доля риска объекта контроля (полученные суммарные значения рисков сопоставляются с возможным максимальным значением риска).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Объект контроля относится к группе высокой степени риска, доля риска которого находится в пределах от 70 до 100%; к группе средней степени риска, доля риска которого находится в пределах от 50 до 70% и к группе минимальной степени риска, доля риска которого находится в пределах ниже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применения данных расчетов все объекты контроля классифицируются по 3 группам риска - в группу высокой степени риска, в группу средней степени риска и в группу минимальной степени.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Мониторинг и контроль рисков 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расчетов по отнесению объектов контроля к определенным группам риска в разрезе объектов контроля с детализацией показателей по критериям, в срок не позднее чем за 1 месяц до начала этапа планирования передаются членам органа контроля и структурным подразделениям, участвующим в планировании контрольной деятельности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Члены органа контроля и структурные подразделения, участвующие в планировании контрольной деятельности органа контроля на основании оценки рисков, с учетом имеющихся ресурсов и дополнительной информации в течение 15 календарных дней со дня получения данных об отнесении объектов контроля к группам риска направляют предложения по включению в план работ органа контроля на соответствующий период в структурное подразделение органа контроля, ответственное за планирование контрольной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Проект плана работ органа контроля на соответствующий период, согласованный с членами органа контроля и структурными подразделениями, участвующими в планировании контрольной деятельности передается руководителю органа контроля в течение 15 календарных дней со дня получения предложений по включению в план работ органа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контрольных мероприятий оценка рисков проводится на начальном этапе контроля с целью повышения эффективности государственного финансового контроля и оптимального распределения ограниченных ресурсов органа контроля, а также при необходимости на любой стадии проведения контроля.</w:t>
      </w:r>
    </w:p>
    <w:bookmarkEnd w:id="12"/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Планирование управлением рисками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Планирование управления рисками осуществляется принятием решений по планированию и проведению контрольно-аналитических мероприятий органом контроля с целью нейтрализации рисков и повышения финансовой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итогам контроля органом контроля вырабатываются рекомендации по объектам контроля, реализация которых способствует нейтрализации риска и предупреждению финансовых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данной типовой системе все объекты делятся на шесть блоков. В первый блок отнесены государственные органы, разрабатывающие стратегический план, во второй блок - государственные органы, не разрабатывающие стратегический план, в третий и четвертый – государственные органы по доходной части (налоговые органы и за исключением налоговых органов), пятый – программные документы (государственные и отраслевые программы, разработанные в ее реализацию) и шестой - субъекты квазигосударственного сектора. Критерии по отнесению программных документов (государственных и отраслевых программ, разработанных в ее реализацию) к группам риска рассчитываются только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Определение рисков в объектах контроля блоков осуществляется на основе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разрабатывающих стратегические планы к группам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не разрабатывающих стратегические планы к группам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осуществляющих деятельность по обеспечению полноты и своевременности поступлений в республиканский или местный бюджет, к группам риска (налоговые органы)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государственных органов, осуществляющих деятельность по обеспечению полноты и своевременности поступлений в республиканский или местный бюджет, к группам риска (за исключением налоговых органов)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программных документов (государственных и отраслевых программ, разработанных в ее реализацию), к группам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отнесению субъектов квазигосударственного сектора к группам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основе данных постановлений и заключений Счетного комитета, ревизионной комиссии и информации от Комитета финансового контроля Министерства финансов Республики Казахстан и его территориальных подразделений проводится анализ полноты охвата государственных органов контрольными мероприятиями органов государственного финансового контроля в разрезе бюджетных программ за последние два года,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полноты охвата тематическими контрольными мероприятиями органов государственного финансового контроля за два года (в разрезе каждого государственного органа)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полноты охвата государственных органов тематическими контрольными мероприятиями органов государственного финансового контроля за два года (сводная по всем государственным органам)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Органы контроля по необходимости с целью получения более точных результатов изменяют количество блоков и критериев, а также изменяют диапазоны значения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Результаты оценки рисков объектов контроля используются органами контроля при планировании и проведении контрольных мероприятий, а также подготовке аналитических, информационных и иных документов по направлениям деятельности органа контроля.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системе управления рисками,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проведении внешнего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отнесению государственных органов, разрабатывающих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стратегические планы к группам риска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499"/>
        <w:gridCol w:w="1834"/>
        <w:gridCol w:w="2524"/>
        <w:gridCol w:w="2588"/>
      </w:tblGrid>
      <w:tr>
        <w:trPr>
          <w:trHeight w:val="30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риска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стратегического плана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высокой степени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показателей результата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реализуемых госорганом, ед.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</w:tr>
      <w:tr>
        <w:trPr>
          <w:trHeight w:val="8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внесенных изменений и дополнений в стратегический план, количество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органа, млн. тенге*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бюджета развития от общего объема бюджета за отчетный период,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</w:tr>
      <w:tr>
        <w:trPr>
          <w:trHeight w:val="12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тематическим контролем от общего объема бюджетных средств, выделенных за последние два года,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несвоевременно реализуемых бюджетных инвестиционных проектов от их общего количества,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данным госорганом, ед.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</w:tr>
      <w:tr>
        <w:trPr>
          <w:trHeight w:val="11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дебиторской задолженности по сравнению с прошлым периодом,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80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данному критерию, исходя из объемов бюджетных средств данной области, района, ревизионными комиссиями самостоятельно определяются два значения: один – для областного уровня, второй – для районного уровня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отнесению государственных органов,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разрабатывающих стратегические планы к группам риска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794"/>
        <w:gridCol w:w="1842"/>
        <w:gridCol w:w="2262"/>
        <w:gridCol w:w="3462"/>
      </w:tblGrid>
      <w:tr>
        <w:trPr>
          <w:trHeight w:val="30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объем финансирования государственного органа*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бюджета развития от общего объема бюджета за отчетный период,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бюджетных средств, охваченных тематическим контролем от общего объема бюджетных средств, выделенных за последние два года,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финансирования по сравнению с прошлым периодом,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несвоевременно реализуемых бюджетных инвестиционных проектов от их общего количества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бюджетных средств на конец периода,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99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данным государственным учреждением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 финансовых нарушений, выявленных предыдущим контролем к объему расходов соответствующего периода,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объемов дебиторской задолженности по сравнению с прошлым периодом,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комплексной проверки,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80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100</w:t>
            </w:r>
          </w:p>
        </w:tc>
      </w:tr>
    </w:tbl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отнесению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осуществляющих деятельность по обеспечению полноты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своевременности поступлений в республиканский/местный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бюджет, к группам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(налоговые органы)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540"/>
        <w:gridCol w:w="2073"/>
        <w:gridCol w:w="2451"/>
        <w:gridCol w:w="2915"/>
      </w:tblGrid>
      <w:tr>
        <w:trPr>
          <w:trHeight w:val="30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78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плана поступлений по доходам в местный бюджет, количество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4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8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задолженности в республиканский/местный бюджет от общего объема поступлений,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10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</w:t>
            </w:r>
          </w:p>
        </w:tc>
      </w:tr>
      <w:tr>
        <w:trPr>
          <w:trHeight w:val="75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задолженности в республиканский/местный бюджет в сравнении с прошлым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&lt;/=0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поступлений по доходам в республиканский/местный бюджет по сравнению с аналогичным периодом прошлого года, количество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9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налоговых и неналоговых поступлений республиканского/местного бюджета за отчетный период, млн.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&gt;/=/&lt;100 </w:t>
            </w:r>
          </w:p>
        </w:tc>
      </w:tr>
      <w:tr>
        <w:trPr>
          <w:trHeight w:val="64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местного бюджета за отчетный период,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110</w:t>
            </w:r>
          </w:p>
        </w:tc>
      </w:tr>
      <w:tr>
        <w:trPr>
          <w:trHeight w:val="61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поступлений по сравнению с предыдущим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&gt;/=125</w:t>
            </w:r>
          </w:p>
        </w:tc>
      </w:tr>
      <w:tr>
        <w:trPr>
          <w:trHeight w:val="70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недоимки по сравнению с предыдущим 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переплаты по сравнению с предыдущим отчетным периодом,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&gt;/=100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&gt;/=/&lt;0</w:t>
            </w:r>
          </w:p>
        </w:tc>
      </w:tr>
      <w:tr>
        <w:trPr>
          <w:trHeight w:val="60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взыскания доначисленных сумм по актам налоговых проверок,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  <w:tr>
        <w:trPr>
          <w:trHeight w:val="85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органами государственного финансового контроля,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года</w:t>
            </w:r>
          </w:p>
        </w:tc>
      </w:tr>
      <w:tr>
        <w:trPr>
          <w:trHeight w:val="51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выявленных нарушений, млн.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1,0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&gt;/=0,5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57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</w:tbl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 отнесению государственных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деятельность по обеспечению полноты и своевременности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поступлений в республиканский/местный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 группам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(за исключением налоговых органов)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595"/>
        <w:gridCol w:w="1977"/>
        <w:gridCol w:w="2309"/>
        <w:gridCol w:w="3219"/>
      </w:tblGrid>
      <w:tr>
        <w:trPr>
          <w:trHeight w:val="30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 местный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тенге*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Текучесть кадров от общего числа работников, в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органами государственного финансового контроля, 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выявленных нарушений, млн. тенге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1,0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&gt;/=0,5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0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&lt;/=95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&lt;/=100</w:t>
            </w:r>
          </w:p>
        </w:tc>
      </w:tr>
    </w:tbl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данному критерию ревизионными комиссиями самостоятельно определяются два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– для областного уровня, второй – для районного уровня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отнесению программных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     (государственных и отраслевых программ, разработанных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ее реализацию), к группам риска *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314"/>
        <w:gridCol w:w="1632"/>
        <w:gridCol w:w="1717"/>
        <w:gridCol w:w="2079"/>
        <w:gridCol w:w="4230"/>
      </w:tblGrid>
      <w:tr>
        <w:trPr>
          <w:trHeight w:val="36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  <w:tc>
          <w:tcPr>
            <w:tcW w:w="4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 показателей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финансирования, в млрд. тенге **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из нормативных правовых актов отчетов Министерства финансов Республики Казахстан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исполнитель программного документа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высокой степени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минимальной степени 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из паспорта программного документа</w:t>
            </w:r>
          </w:p>
        </w:tc>
      </w:tr>
      <w:tr>
        <w:trPr>
          <w:trHeight w:val="16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программ, реализуемых в целях исполнения мероприятий по программному документу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</w:t>
            </w:r>
          </w:p>
        </w:tc>
      </w:tr>
      <w:tr>
        <w:trPr>
          <w:trHeight w:val="19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реализуемых в целях исполнения мероприятий по программному документу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несвоевременно реализуемых бюджетных инвестиционных проектов в рамках программного документа от их общего количества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Финансов из отчета по мониторингу</w:t>
            </w:r>
          </w:p>
        </w:tc>
      </w:tr>
      <w:tr>
        <w:trPr>
          <w:trHeight w:val="23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целевых индикаторов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5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недостигнутых показателей результата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невыполненных мероприятий от общего количества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вовлеченных в реализацию программы государственных органов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 (доля финансирования из республиканского бюджета)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60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20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мероприятий в рамках программного документа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от Министерства экономики и бюджетного планирования из отчетов о реализации государственных и отраслевых программ, разработанных в ее реализацию по итогам года</w:t>
            </w:r>
          </w:p>
        </w:tc>
      </w:tr>
    </w:tbl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блок используется только Счетным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по данному критерию пороговые значения определяются Счетным комитетом самостоятельно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КРИТЕРИЕВ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отнесению субъектов квазигосударственного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сектора к группам риска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206"/>
        <w:gridCol w:w="2064"/>
        <w:gridCol w:w="2503"/>
        <w:gridCol w:w="2484"/>
      </w:tblGrid>
      <w:tr>
        <w:trPr>
          <w:trHeight w:val="30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6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 риска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высокой степени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средней степени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минимальной степени 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выделенных из государственного бюджета*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размера уставного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-15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-10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дочерних и ассоциированных организаций, в единицах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Рост/снижение прибыли по сравнению с предыдущим периодом,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административных расходов от общего объема расходов,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 10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выплаченных дивидендов от прибыли,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&gt;/=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&lt;/= 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10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50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последней проверки, год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 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&gt;/=/&lt;1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органа контроля, в 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60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80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&lt;/= 100 </w:t>
            </w:r>
          </w:p>
        </w:tc>
      </w:tr>
    </w:tbl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данному критерию ревизионными комиссиями самостоятельно определяются два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– для областного уровня, второй – для районного уровня 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Анализ полноты охвата тематическими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контрольными мероприятиями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финансового контроля за два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 разрезе каждого государственного органа)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706"/>
        <w:gridCol w:w="2974"/>
        <w:gridCol w:w="3351"/>
      </w:tblGrid>
      <w:tr>
        <w:trPr>
          <w:trHeight w:val="31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 год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бюджетных средств, выделенных за последние два года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средств, охваченный контролем органа контроля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бюджетной программы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охваченные тематическим контролем органа контроля бюджетные программы заливаются красным цветом. Охваченные тематическим контролем Комитета финансового контроля Министерства финансов Республики Казахстан и его территориальных подразделений бюджетные программы заливаются желтым цветом Бюджетные программы, не охваченные контролем заливаются голубым цветом.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системе управления рисками,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которая применяется при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проведении внешнего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  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Анализ полноты охвата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тематическими контрольными мероприятиями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государственного финансового контроля за два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(сводная по всем государственным органам)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192"/>
        <w:gridCol w:w="2214"/>
        <w:gridCol w:w="2624"/>
        <w:gridCol w:w="2516"/>
        <w:gridCol w:w="1805"/>
        <w:gridCol w:w="1805"/>
      </w:tblGrid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охвата контролем бюджетных средств, выделенных за два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контролем бюджетных средств, выделенных в 20XX-20XX гг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государственного органа за два года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20XX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20XX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