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f7d" w14:textId="7067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2011 года № 335. Зарегистрирован в Министерстве юстиции Республики Казахстан 27 июля 2011 года № 7087.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619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под № 5438, опубликованный в газете "Юридическая газета" от 27 января 2009 года № 12 (1609));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620 "О некоторых вопросах ведения налогового учета" (зарегистрированный в Реестре государственной регистрации нормативных правовых актов под № 5431, опубликованный в газете "Юридическая газета" от 27 января 2009 г. № 12 (1609)).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2011 года № 335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Налоговая учетная политика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для налогоплательщиков, применяющих специальный налоговый режим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для субъектов малого бизнеса, специальный налоговый режим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крестьянских или фермерских хозяйств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(Ф.И.О./наименование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Регистрационный номер налогоплательщика (РНН)__________________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Индивидуальный или бизнес идентификационный номер (ИИН/БИН)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Виды осуществляемой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Метод отнесения зачета по налогу на добавленную стоимость (НДС)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(раздельный, пропорциональный)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Перечень налоговых регистров, формы которых разработаны самостоятельно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Ведение налогового учета индивидуальными предпринимателями,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применяющими специальный налоговый режим на основе патента (отметьте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Книге налогового учета для индивидуальных предпринимателей,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применяющих специальный налоговый режим на основе патента и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плательщиками налога на добавленную стоимость, согласно приложению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настоящей форме                                            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Книге налогового учета для индивидуальных предпринимателей,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применяющих специальный налоговый режим на основе патента и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плательщиками налога на добавленную стоимость, согласно приложению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настоящей форме                                            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ведомости учета обязательств по плате за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окружающую среду, согласно приложению 3 к настоящей форме    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налоговой учетной политики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 применяющих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налоговый режим 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малого бизнеса,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фермерских хозяйств            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налогового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индивидуальных предпринимателей, применяющих специальный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налоговый режим на основе патента и </w:t>
      </w:r>
      <w:r>
        <w:rPr>
          <w:rFonts w:ascii="Times New Roman"/>
          <w:b/>
          <w:i w:val="false"/>
          <w:color w:val="000000"/>
          <w:sz w:val="28"/>
        </w:rPr>
        <w:t>не являющихся плательщиками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(титульный лист)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7"/>
      </w:tblGrid>
      <w:tr>
        <w:trPr>
          <w:trHeight w:val="1305" w:hRule="atLeast"/>
        </w:trPr>
        <w:tc>
          <w:tcPr>
            <w:tcW w:w="1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индивидуального предпринимателя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налогоплательщика (РНН) </w:t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при его наличии </w:t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осуществляемой предпринимательской деятельности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окончания деятельности ________________________________________________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доходов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279"/>
        <w:gridCol w:w="3401"/>
      </w:tblGrid>
      <w:tr>
        <w:trPr>
          <w:trHeight w:val="36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день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квартал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год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заполняется ежедневно, в хронологическом порядке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подведением итогов на конец рабочего дня. В конце месяца, квартала,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подводятся итоговые данные за месяц, квартал, год.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налоговой учетной политики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 применяющих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налоговый режим 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малого бизнеса,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фермерских хозяйств                 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налогового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индивидуальных предпринимателей, применяющих специальный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налоговый режим на основе патента и </w:t>
      </w:r>
      <w:r>
        <w:rPr>
          <w:rFonts w:ascii="Times New Roman"/>
          <w:b/>
          <w:i w:val="false"/>
          <w:color w:val="000000"/>
          <w:sz w:val="28"/>
        </w:rPr>
        <w:t>являющихся плательщиками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налога на добавленную стоимость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(титульный лист книги)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1"/>
      </w:tblGrid>
      <w:tr>
        <w:trPr>
          <w:trHeight w:val="2235" w:hRule="atLeast"/>
        </w:trPr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индивидуального предпринимателя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налогоплательщика (РНН) </w:t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при его наличии </w:t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осуществляемой предпринимательской деятельности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по налогу на добавленную стоимость: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 номер ________________ дата выдачи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окончания деятельности ______________________________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доходов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879"/>
        <w:gridCol w:w="1253"/>
        <w:gridCol w:w="2193"/>
        <w:gridCol w:w="1880"/>
        <w:gridCol w:w="1410"/>
        <w:gridCol w:w="1567"/>
        <w:gridCol w:w="1567"/>
      </w:tblGrid>
      <w:tr>
        <w:trPr>
          <w:trHeight w:val="48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 по счетам-фактурам,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выставленные поставщиками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операций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 стоимость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заполняется ежедневно, в хронологическом порядке с подведением итогов на конец рабочего дня. В конце месяца, квартала, года подводятся итоговые данные за месяц, квартал,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налоговой учетной политики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налогоплательщиков, применяющих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налоговый режим 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малого бизнеса,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режим для крестьянских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фермерских хозяйств                  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учета обязательств по 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эмиссии в окружающую среду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419"/>
        <w:gridCol w:w="3146"/>
        <w:gridCol w:w="1778"/>
        <w:gridCol w:w="1231"/>
        <w:gridCol w:w="1915"/>
        <w:gridCol w:w="25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(выбросы, сбросы,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отходов)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загрязняющего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день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квартал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год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Ведомость заполняется ежедневно, в хронологическом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подведением итогов на конец квартала. В конце года подводятся итоговые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за год.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header.xml" Type="http://schemas.openxmlformats.org/officeDocument/2006/relationships/header" Id="rId5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