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3a48" w14:textId="b6a3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мая 2011 года № 08-2/291. Зарегистрирован в Министерстве юстиции Республики Казахстан 24 июня 2011 года № 7034.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№ 252 от 11 марта 2011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финансового обеспечения Министерства сельского хозяйства Республики Казахстан (далее – Министерство) в соответствии с планом финансирования на 2011 год обеспечить своевременное перечисление областным бюджетам целевых текущих трансфертов на субсидирование повышения продуктивности и качества продукции животноводства.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развития животноводства и ветеринарной безопасности Министерства в пределах своей компетенции проводить мониторинг использования средств, перечисленных целевыми текущими трансфертами областным бюджетам на субсидирование повышения продуктивности и качества продукции животноводства в соответствии с утвержденными объемами субсидирования по областям.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развития животноводства и ветеринарной безопасности Министерства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приказа возложить на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Вице-министра сельского хозяйства (Хасенова С.С.).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приказ вводится в действие после дня его первого официального опубликования и распространяется на отношения возникшие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2011 года № 08-2/291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в республиканском бюджете средств на</w:t>
      </w:r>
      <w:r>
        <w:br/>
      </w:r>
      <w:r>
        <w:rPr>
          <w:rFonts w:ascii="Times New Roman"/>
          <w:b/>
          <w:i w:val="false"/>
          <w:color w:val="000000"/>
        </w:rPr>
        <w:t>субсидирование повышения продуктивности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животноводства по областям и направлениям субсидирования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Распределение в редакции приказа Министра сельского хозяйства РК от 08.12.2011 </w:t>
      </w:r>
      <w:r>
        <w:rPr>
          <w:rFonts w:ascii="Times New Roman"/>
          <w:b w:val="false"/>
          <w:i w:val="false"/>
          <w:color w:val="ff0000"/>
          <w:sz w:val="28"/>
        </w:rPr>
        <w:t>№ 08-2/709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2230"/>
        <w:gridCol w:w="1991"/>
        <w:gridCol w:w="1992"/>
        <w:gridCol w:w="1992"/>
        <w:gridCol w:w="1992"/>
        <w:gridCol w:w="1752"/>
      </w:tblGrid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117337,0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113444,0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523425,0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251853,0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249628,0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127183,3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140331,0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2018374,0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933705,3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215131,0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265868,0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84"/>
        <w:gridCol w:w="1593"/>
        <w:gridCol w:w="1784"/>
        <w:gridCol w:w="1784"/>
        <w:gridCol w:w="1784"/>
        <w:gridCol w:w="19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 (тыс. тенге)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922646,0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294031,0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1440030,0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222472,0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606378,0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3386332,0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1315906,0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741697,0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231336,0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6076175,0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681757,0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2894028,0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283694,0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224262,0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122252,0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674107,0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694264,0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132988,0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1910014,0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124392,0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566504,0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457992,0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1456012,0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270018,7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1147965,0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545669,0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611016,0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1479409,0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661967,0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5189305,0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5186503,7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3481434,0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1092681,0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