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cbb0" w14:textId="7c9c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оценки степени риска в сфере частного предпринимательства за исполнением законодательства Республики Казахстан в области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туризма и спорта Республики Казахстан от 14 апреля 2011 года № 02-02-18/57 и и.о. Министра экономического развития и торговли Республики Казахстан от 16 мая 2011 года № 135. Зарегистрирован в Министерстве юстиции Республики Казахстан 22 июня 2011 года № 7027. Утратил силу совместным приказом Председателя Агентства Республики Казахстан по делам спорта и физической культуры от 7 февраля 2013 года № 35 и первого заместителя Премьер-Министра Республики Казахстан - Министра регионального развития Республики Казахстан от 16 апреля 2013 года № 01-04-03/50НҚ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спорта и физической культуры от 07.02.2013 № 35 и первого заместителя Премьер-Министра РК - Министра регионального развития РК от 16.04.2013 № 01-04-03/50НҚ.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и надзоре в Республике Казахстан" и подпунктом 27)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оценки степени риска в сфере частного предпринимательства за исполнением законодательства Республики Казахстан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спорту Министерства туризма и спорта Республики Казахстан (Канагатов Е.Б.):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интернет-ресурсе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спорту Министерства туризма и спорта Республики Казахстан Канагатова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туризма и спорта    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Т.Ермегияев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________ М.Кусаинов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совместным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туризма и спорта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2011 года № 02-02-18/57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 экономического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2011 года № 135              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оценки степени риска в сфере частного предпринимательства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исполнением законодательства Республики Казахстан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физической культуры и спорта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или местный исполнительный орган,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государственной регистрации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 (для физических лиц),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юридических лиц)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073"/>
        <w:gridCol w:w="2173"/>
        <w:gridCol w:w="2393"/>
      </w:tblGrid>
      <w:tr>
        <w:trPr>
          <w:trHeight w:val="6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спортивного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эксплуатационной надежности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заключений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противопожарным нормам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юридических 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тренерско-преподавательского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с 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 спорт";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физических лиц - высшего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 спорт"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договора с работником,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высшее или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"физическая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</w:t>
      </w:r>
      <w:r>
        <w:rPr>
          <w:rFonts w:ascii="Times New Roman"/>
          <w:b w:val="false"/>
          <w:i w:val="false"/>
          <w:color w:val="000000"/>
          <w:sz w:val="28"/>
        </w:rPr>
        <w:t>:      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Физическое или юридическое лицо</w:t>
      </w:r>
      <w:r>
        <w:rPr>
          <w:rFonts w:ascii="Times New Roman"/>
          <w:b w:val="false"/>
          <w:i w:val="false"/>
          <w:color w:val="000000"/>
          <w:sz w:val="28"/>
        </w:rPr>
        <w:t>: ______________________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